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FF229AF">
      <w:pPr>
        <w:spacing w:line="360" w:lineRule="auto"/>
        <w:jc w:val="center"/>
        <w:rPr>
          <w:b/>
          <w:bCs/>
          <w:sz w:val="36"/>
        </w:rPr>
      </w:pPr>
      <w:r>
        <w:rPr>
          <w:b/>
          <w:bCs/>
          <w:sz w:val="36"/>
        </w:rPr>
        <w:t>《</w:t>
      </w:r>
      <w:r>
        <w:rPr>
          <w:rFonts w:hint="eastAsia"/>
          <w:b/>
          <w:bCs/>
          <w:sz w:val="36"/>
        </w:rPr>
        <w:t>准光腔法介电常数测量系统</w:t>
      </w:r>
      <w:r>
        <w:rPr>
          <w:rFonts w:hint="eastAsia"/>
          <w:b/>
          <w:bCs/>
          <w:sz w:val="36"/>
          <w:lang w:val="en-US" w:eastAsia="zh-CN"/>
        </w:rPr>
        <w:t>测试</w:t>
      </w:r>
      <w:r>
        <w:rPr>
          <w:rFonts w:hint="eastAsia"/>
          <w:b/>
          <w:bCs/>
          <w:sz w:val="36"/>
        </w:rPr>
        <w:t>技术规范</w:t>
      </w:r>
      <w:r>
        <w:rPr>
          <w:b/>
          <w:bCs/>
          <w:sz w:val="36"/>
        </w:rPr>
        <w:t>》</w:t>
      </w:r>
    </w:p>
    <w:p w14:paraId="6CEBE63B">
      <w:pPr>
        <w:spacing w:line="360" w:lineRule="auto"/>
        <w:jc w:val="center"/>
        <w:rPr>
          <w:b/>
          <w:bCs/>
          <w:sz w:val="36"/>
        </w:rPr>
      </w:pPr>
      <w:r>
        <w:rPr>
          <w:b/>
          <w:bCs/>
          <w:sz w:val="36"/>
        </w:rPr>
        <w:t>编制说明</w:t>
      </w:r>
    </w:p>
    <w:p w14:paraId="4547BA18"/>
    <w:p w14:paraId="7BA4B296">
      <w:pPr>
        <w:spacing w:line="360" w:lineRule="auto"/>
        <w:outlineLvl w:val="0"/>
        <w:rPr>
          <w:b/>
          <w:bCs/>
          <w:sz w:val="28"/>
          <w:szCs w:val="28"/>
        </w:rPr>
      </w:pPr>
      <w:r>
        <w:rPr>
          <w:b/>
          <w:bCs/>
          <w:sz w:val="28"/>
          <w:szCs w:val="28"/>
        </w:rPr>
        <w:t>一、任务来源</w:t>
      </w:r>
      <w:r>
        <w:rPr>
          <w:rFonts w:hint="eastAsia"/>
          <w:b/>
          <w:bCs/>
          <w:sz w:val="28"/>
          <w:szCs w:val="28"/>
        </w:rPr>
        <w:t>及起草工作概况</w:t>
      </w:r>
    </w:p>
    <w:p w14:paraId="3EF6DB79">
      <w:pPr>
        <w:spacing w:line="360" w:lineRule="auto"/>
        <w:ind w:firstLine="480" w:firstLineChars="200"/>
        <w:rPr>
          <w:sz w:val="24"/>
        </w:rPr>
      </w:pPr>
      <w:r>
        <w:rPr>
          <w:rFonts w:hint="eastAsia" w:hAnsi="宋体"/>
          <w:sz w:val="24"/>
        </w:rPr>
        <w:t>根据国家市场监管总局办公厅通知（市监计量发[2</w:t>
      </w:r>
      <w:r>
        <w:rPr>
          <w:rFonts w:hAnsi="宋体"/>
          <w:sz w:val="24"/>
        </w:rPr>
        <w:t>022</w:t>
      </w:r>
      <w:r>
        <w:rPr>
          <w:rFonts w:hint="eastAsia" w:hAnsi="宋体"/>
          <w:sz w:val="24"/>
        </w:rPr>
        <w:t>]7</w:t>
      </w:r>
      <w:r>
        <w:rPr>
          <w:rFonts w:hAnsi="宋体"/>
          <w:sz w:val="24"/>
        </w:rPr>
        <w:t>0</w:t>
      </w:r>
      <w:r>
        <w:rPr>
          <w:rFonts w:hint="eastAsia" w:hAnsi="宋体"/>
          <w:sz w:val="24"/>
        </w:rPr>
        <w:t>号），《2</w:t>
      </w:r>
      <w:r>
        <w:rPr>
          <w:rFonts w:hAnsi="宋体"/>
          <w:sz w:val="24"/>
        </w:rPr>
        <w:t>022</w:t>
      </w:r>
      <w:r>
        <w:rPr>
          <w:rFonts w:hint="eastAsia" w:hAnsi="宋体"/>
          <w:sz w:val="24"/>
        </w:rPr>
        <w:t>年国家计量技术规范制定、修订及宣贯计划》已经市场监管总局审查同意，全国新材料与纳米计量技术委员会下达《</w:t>
      </w:r>
      <w:r>
        <w:rPr>
          <w:rFonts w:hint="eastAsia" w:hAnsi="宋体"/>
          <w:sz w:val="24"/>
          <w:lang w:eastAsia="zh-CN"/>
        </w:rPr>
        <w:t>准光腔法介电常数测量系统测试技术规范</w:t>
      </w:r>
      <w:bookmarkStart w:id="13" w:name="_GoBack"/>
      <w:bookmarkEnd w:id="13"/>
      <w:r>
        <w:rPr>
          <w:rFonts w:hint="eastAsia" w:hAnsi="宋体"/>
          <w:sz w:val="24"/>
        </w:rPr>
        <w:t>》的编制任务给起草组，通知起草组参照有关规定，认真落实好计划项目</w:t>
      </w:r>
      <w:r>
        <w:rPr>
          <w:rFonts w:hint="eastAsia"/>
          <w:sz w:val="24"/>
        </w:rPr>
        <w:t>。</w:t>
      </w:r>
    </w:p>
    <w:p w14:paraId="698C2DD1">
      <w:pPr>
        <w:spacing w:line="360" w:lineRule="auto"/>
        <w:ind w:firstLine="480" w:firstLineChars="200"/>
        <w:rPr>
          <w:sz w:val="24"/>
        </w:rPr>
      </w:pPr>
      <w:r>
        <w:rPr>
          <w:rFonts w:hint="eastAsia" w:hAnsi="宋体"/>
          <w:sz w:val="24"/>
        </w:rPr>
        <w:t>《</w:t>
      </w:r>
      <w:r>
        <w:rPr>
          <w:rFonts w:hint="eastAsia" w:hAnsi="宋体"/>
          <w:sz w:val="24"/>
          <w:lang w:eastAsia="zh-CN"/>
        </w:rPr>
        <w:t>准光腔法介电常数测量系统测试技术规范</w:t>
      </w:r>
      <w:r>
        <w:rPr>
          <w:rFonts w:hint="eastAsia" w:hAnsi="宋体"/>
          <w:sz w:val="24"/>
        </w:rPr>
        <w:t>》</w:t>
      </w:r>
      <w:r>
        <w:rPr>
          <w:rFonts w:hint="eastAsia"/>
          <w:sz w:val="24"/>
        </w:rPr>
        <w:t>由中国计量科学研究院牵头，山东国瓷功能材料股份有限公司联合起草，共同完成计量技术规范的编制工作。</w:t>
      </w:r>
    </w:p>
    <w:p w14:paraId="5945A67A">
      <w:pPr>
        <w:spacing w:line="360" w:lineRule="auto"/>
        <w:ind w:firstLine="480" w:firstLineChars="200"/>
        <w:rPr>
          <w:bCs/>
          <w:sz w:val="24"/>
        </w:rPr>
      </w:pPr>
      <w:r>
        <w:rPr>
          <w:bCs/>
          <w:sz w:val="24"/>
        </w:rPr>
        <w:t>主要成员：</w:t>
      </w:r>
      <w:r>
        <w:rPr>
          <w:rFonts w:hint="eastAsia"/>
          <w:bCs/>
          <w:sz w:val="24"/>
        </w:rPr>
        <w:t>任玲玲、孙莹莹、徐浩、党俊等</w:t>
      </w:r>
    </w:p>
    <w:p w14:paraId="0A9B4CF0">
      <w:pPr>
        <w:spacing w:line="360" w:lineRule="auto"/>
        <w:outlineLvl w:val="0"/>
        <w:rPr>
          <w:sz w:val="24"/>
        </w:rPr>
      </w:pPr>
      <w:r>
        <w:rPr>
          <w:rFonts w:hint="eastAsia"/>
          <w:b/>
          <w:bCs/>
          <w:sz w:val="28"/>
          <w:szCs w:val="28"/>
        </w:rPr>
        <w:t>二</w:t>
      </w:r>
      <w:r>
        <w:rPr>
          <w:b/>
          <w:bCs/>
          <w:sz w:val="28"/>
          <w:szCs w:val="28"/>
        </w:rPr>
        <w:t>、</w:t>
      </w:r>
      <w:r>
        <w:rPr>
          <w:rFonts w:hint="eastAsia"/>
          <w:b/>
          <w:bCs/>
          <w:sz w:val="28"/>
          <w:szCs w:val="28"/>
        </w:rPr>
        <w:t>编制背景</w:t>
      </w:r>
    </w:p>
    <w:p w14:paraId="1519672A">
      <w:pPr>
        <w:autoSpaceDE w:val="0"/>
        <w:autoSpaceDN w:val="0"/>
        <w:adjustRightInd w:val="0"/>
        <w:spacing w:line="360" w:lineRule="auto"/>
        <w:ind w:firstLine="480" w:firstLineChars="200"/>
        <w:jc w:val="left"/>
        <w:rPr>
          <w:rFonts w:hAnsi="宋体"/>
          <w:sz w:val="24"/>
        </w:rPr>
      </w:pPr>
      <w:r>
        <w:rPr>
          <w:rFonts w:hint="eastAsia" w:hAnsi="宋体"/>
          <w:sz w:val="24"/>
        </w:rPr>
        <w:t>在微波毫米波高频段范围元器件中，使用材料的特性会对系统产生很大影响，且材料介电参数测量主要向高精度、高频率、低损耗、宽频带、自动化方向发展，而准光腔与其它封闭腔相比具有操作方便测试、模式简单、品质因数高、精度和灵敏度高等特点，因此在毫米波频段进行低损耗材料测试应用最为广泛。</w:t>
      </w:r>
    </w:p>
    <w:p w14:paraId="56E429FF">
      <w:pPr>
        <w:autoSpaceDE w:val="0"/>
        <w:autoSpaceDN w:val="0"/>
        <w:adjustRightInd w:val="0"/>
        <w:spacing w:line="360" w:lineRule="auto"/>
        <w:ind w:firstLine="480" w:firstLineChars="200"/>
        <w:jc w:val="left"/>
        <w:rPr>
          <w:rFonts w:hAnsi="宋体"/>
          <w:sz w:val="24"/>
        </w:rPr>
      </w:pPr>
      <w:r>
        <w:rPr>
          <w:rFonts w:hint="eastAsia" w:hAnsi="宋体"/>
          <w:sz w:val="24"/>
        </w:rPr>
        <w:t>使用准光腔精确测量毫米波材料的介电性能具有重要的理论和工程意义，但目前对于准光腔未有相关的计量技术规范，为了保证准光腔测试的精准性，保证量值溯源的准确可靠，迫切需要编制准光腔介电常数和介电损耗角正切测量系统计量技术规范。</w:t>
      </w:r>
    </w:p>
    <w:p w14:paraId="09EB1E49">
      <w:pPr>
        <w:spacing w:line="360" w:lineRule="auto"/>
        <w:outlineLvl w:val="0"/>
        <w:rPr>
          <w:sz w:val="24"/>
        </w:rPr>
      </w:pPr>
      <w:r>
        <w:rPr>
          <w:rFonts w:hint="eastAsia"/>
          <w:b/>
          <w:bCs/>
          <w:sz w:val="28"/>
          <w:szCs w:val="28"/>
        </w:rPr>
        <w:t>三</w:t>
      </w:r>
      <w:r>
        <w:rPr>
          <w:b/>
          <w:bCs/>
          <w:sz w:val="28"/>
          <w:szCs w:val="28"/>
        </w:rPr>
        <w:t>、规</w:t>
      </w:r>
      <w:r>
        <w:rPr>
          <w:rFonts w:hint="eastAsia"/>
          <w:b/>
          <w:bCs/>
          <w:sz w:val="28"/>
          <w:szCs w:val="28"/>
        </w:rPr>
        <w:t>范</w:t>
      </w:r>
      <w:r>
        <w:rPr>
          <w:b/>
          <w:bCs/>
          <w:sz w:val="28"/>
          <w:szCs w:val="28"/>
        </w:rPr>
        <w:t>起草过程</w:t>
      </w:r>
    </w:p>
    <w:p w14:paraId="5E3A7939">
      <w:pPr>
        <w:spacing w:line="360" w:lineRule="auto"/>
        <w:ind w:firstLine="480" w:firstLineChars="200"/>
        <w:jc w:val="left"/>
        <w:rPr>
          <w:sz w:val="24"/>
        </w:rPr>
      </w:pPr>
      <w:r>
        <w:rPr>
          <w:sz w:val="24"/>
        </w:rPr>
        <w:t>202</w:t>
      </w:r>
      <w:r>
        <w:rPr>
          <w:rFonts w:hint="eastAsia"/>
          <w:sz w:val="24"/>
        </w:rPr>
        <w:t>1</w:t>
      </w:r>
      <w:r>
        <w:rPr>
          <w:sz w:val="24"/>
        </w:rPr>
        <w:t>年1月，</w:t>
      </w:r>
      <w:r>
        <w:rPr>
          <w:rFonts w:hint="eastAsia"/>
          <w:sz w:val="24"/>
          <w:lang w:eastAsia="zh-CN"/>
        </w:rPr>
        <w:t>准光腔法介电常数测量系统测试技术规范</w:t>
      </w:r>
      <w:r>
        <w:rPr>
          <w:sz w:val="24"/>
        </w:rPr>
        <w:t>起草工作组组建，工作组包括具有</w:t>
      </w:r>
      <w:r>
        <w:rPr>
          <w:rFonts w:hint="eastAsia"/>
          <w:sz w:val="24"/>
        </w:rPr>
        <w:t>丰富</w:t>
      </w:r>
      <w:r>
        <w:rPr>
          <w:sz w:val="24"/>
        </w:rPr>
        <w:t>经验的</w:t>
      </w:r>
      <w:r>
        <w:rPr>
          <w:rFonts w:hint="eastAsia"/>
          <w:sz w:val="24"/>
        </w:rPr>
        <w:t>计量技术专业人员、介电测试领域的</w:t>
      </w:r>
      <w:r>
        <w:rPr>
          <w:sz w:val="24"/>
        </w:rPr>
        <w:t>科研人员</w:t>
      </w:r>
      <w:r>
        <w:rPr>
          <w:rFonts w:hint="eastAsia"/>
          <w:sz w:val="24"/>
        </w:rPr>
        <w:t>和技术人员</w:t>
      </w:r>
      <w:r>
        <w:rPr>
          <w:sz w:val="24"/>
        </w:rPr>
        <w:t>、分析技术人员。</w:t>
      </w:r>
      <w:r>
        <w:rPr>
          <w:rFonts w:hint="eastAsia"/>
          <w:sz w:val="24"/>
        </w:rPr>
        <w:t>计量技术规范</w:t>
      </w:r>
      <w:r>
        <w:rPr>
          <w:sz w:val="24"/>
        </w:rPr>
        <w:t>起草工作组讨论了具体的工作过程、拟定了相应的工作计划。经过讨论，</w:t>
      </w:r>
      <w:r>
        <w:rPr>
          <w:rFonts w:hint="eastAsia"/>
          <w:sz w:val="24"/>
        </w:rPr>
        <w:t>计量技术规范</w:t>
      </w:r>
      <w:r>
        <w:rPr>
          <w:sz w:val="24"/>
        </w:rPr>
        <w:t>的名称为《</w:t>
      </w:r>
      <w:r>
        <w:rPr>
          <w:rFonts w:hint="eastAsia"/>
          <w:sz w:val="24"/>
          <w:lang w:eastAsia="zh-CN"/>
        </w:rPr>
        <w:t>准光腔法介电常数测量系统测试技术规范</w:t>
      </w:r>
      <w:r>
        <w:rPr>
          <w:sz w:val="24"/>
        </w:rPr>
        <w:t>》，本文件的制定是为了规范</w:t>
      </w:r>
      <w:r>
        <w:rPr>
          <w:rFonts w:hint="eastAsia"/>
          <w:sz w:val="24"/>
        </w:rPr>
        <w:t>毫米波波段电介质材料介电性能测试常用设备准光腔的校准方法</w:t>
      </w:r>
      <w:r>
        <w:rPr>
          <w:sz w:val="24"/>
        </w:rPr>
        <w:t>，</w:t>
      </w:r>
      <w:r>
        <w:rPr>
          <w:rFonts w:hint="eastAsia"/>
          <w:sz w:val="24"/>
        </w:rPr>
        <w:t>建立计量溯源体系，保证测试系统的准确性和规范性，以</w:t>
      </w:r>
      <w:r>
        <w:rPr>
          <w:sz w:val="24"/>
        </w:rPr>
        <w:t>获得准确的</w:t>
      </w:r>
      <w:r>
        <w:rPr>
          <w:rFonts w:hint="eastAsia"/>
          <w:kern w:val="0"/>
          <w:sz w:val="24"/>
        </w:rPr>
        <w:t>介电性能</w:t>
      </w:r>
      <w:r>
        <w:rPr>
          <w:sz w:val="24"/>
        </w:rPr>
        <w:t>信息，</w:t>
      </w:r>
      <w:r>
        <w:rPr>
          <w:rFonts w:hint="eastAsia"/>
          <w:sz w:val="24"/>
        </w:rPr>
        <w:t>保证介质材料在毫米波波段的应用</w:t>
      </w:r>
      <w:r>
        <w:rPr>
          <w:sz w:val="24"/>
        </w:rPr>
        <w:t>。</w:t>
      </w:r>
    </w:p>
    <w:p w14:paraId="42F96133">
      <w:pPr>
        <w:spacing w:line="360" w:lineRule="auto"/>
        <w:ind w:firstLine="480" w:firstLineChars="200"/>
        <w:jc w:val="left"/>
        <w:rPr>
          <w:sz w:val="24"/>
        </w:rPr>
      </w:pPr>
      <w:r>
        <w:rPr>
          <w:rFonts w:hint="eastAsia"/>
          <w:sz w:val="24"/>
        </w:rPr>
        <w:t>本计量技术规范的</w:t>
      </w:r>
      <w:r>
        <w:rPr>
          <w:sz w:val="24"/>
        </w:rPr>
        <w:t>具体工作计划如下：</w:t>
      </w:r>
    </w:p>
    <w:p w14:paraId="1912B379">
      <w:pPr>
        <w:spacing w:line="360" w:lineRule="auto"/>
        <w:outlineLvl w:val="0"/>
        <w:rPr>
          <w:sz w:val="24"/>
        </w:rPr>
      </w:pPr>
      <w:r>
        <w:rPr>
          <w:rFonts w:hint="eastAsia"/>
          <w:sz w:val="24"/>
        </w:rPr>
        <w:t>2021年</w:t>
      </w:r>
      <w:r>
        <w:rPr>
          <w:sz w:val="24"/>
        </w:rPr>
        <w:t>8</w:t>
      </w:r>
      <w:r>
        <w:rPr>
          <w:rFonts w:hint="eastAsia"/>
          <w:sz w:val="24"/>
        </w:rPr>
        <w:t>月-2021年3月： 调研,整理资料，确定技术方案；</w:t>
      </w:r>
    </w:p>
    <w:p w14:paraId="431438A6">
      <w:pPr>
        <w:spacing w:line="360" w:lineRule="auto"/>
        <w:outlineLvl w:val="0"/>
        <w:rPr>
          <w:sz w:val="24"/>
        </w:rPr>
      </w:pPr>
      <w:r>
        <w:rPr>
          <w:rFonts w:hint="eastAsia"/>
          <w:sz w:val="24"/>
        </w:rPr>
        <w:t>2021年4月-2022年</w:t>
      </w:r>
      <w:r>
        <w:rPr>
          <w:sz w:val="24"/>
        </w:rPr>
        <w:t>10</w:t>
      </w:r>
      <w:r>
        <w:rPr>
          <w:rFonts w:hint="eastAsia"/>
          <w:sz w:val="24"/>
        </w:rPr>
        <w:t>月： 试验验证，整理分析统计试验数据；</w:t>
      </w:r>
    </w:p>
    <w:p w14:paraId="19E072BD">
      <w:pPr>
        <w:spacing w:line="360" w:lineRule="auto"/>
        <w:outlineLvl w:val="0"/>
        <w:rPr>
          <w:sz w:val="24"/>
        </w:rPr>
      </w:pPr>
      <w:r>
        <w:rPr>
          <w:rFonts w:hint="eastAsia"/>
          <w:sz w:val="24"/>
        </w:rPr>
        <w:t>2022年</w:t>
      </w:r>
      <w:r>
        <w:rPr>
          <w:sz w:val="24"/>
        </w:rPr>
        <w:t>11</w:t>
      </w:r>
      <w:r>
        <w:rPr>
          <w:rFonts w:hint="eastAsia"/>
          <w:sz w:val="24"/>
        </w:rPr>
        <w:t>月-20</w:t>
      </w:r>
      <w:r>
        <w:rPr>
          <w:sz w:val="24"/>
        </w:rPr>
        <w:t>2</w:t>
      </w:r>
      <w:r>
        <w:rPr>
          <w:rFonts w:hint="eastAsia"/>
          <w:sz w:val="24"/>
        </w:rPr>
        <w:t>3年9月： 完成草案稿，上报秘书处；</w:t>
      </w:r>
    </w:p>
    <w:p w14:paraId="10A1BD35">
      <w:pPr>
        <w:spacing w:line="360" w:lineRule="auto"/>
        <w:outlineLvl w:val="0"/>
        <w:rPr>
          <w:sz w:val="24"/>
        </w:rPr>
      </w:pPr>
      <w:r>
        <w:rPr>
          <w:rFonts w:hint="eastAsia"/>
          <w:sz w:val="24"/>
        </w:rPr>
        <w:t>2023年</w:t>
      </w:r>
      <w:r>
        <w:rPr>
          <w:sz w:val="24"/>
        </w:rPr>
        <w:t>1</w:t>
      </w:r>
      <w:r>
        <w:rPr>
          <w:rFonts w:hint="eastAsia"/>
          <w:sz w:val="24"/>
        </w:rPr>
        <w:t>0月-202</w:t>
      </w:r>
      <w:r>
        <w:rPr>
          <w:sz w:val="24"/>
        </w:rPr>
        <w:t>4</w:t>
      </w:r>
      <w:r>
        <w:rPr>
          <w:rFonts w:hint="eastAsia"/>
          <w:sz w:val="24"/>
        </w:rPr>
        <w:t>年2月：完成征求意见稿，开始征求意见；</w:t>
      </w:r>
    </w:p>
    <w:p w14:paraId="2A9C7989">
      <w:pPr>
        <w:spacing w:line="360" w:lineRule="auto"/>
        <w:outlineLvl w:val="0"/>
        <w:rPr>
          <w:sz w:val="24"/>
        </w:rPr>
      </w:pPr>
      <w:r>
        <w:rPr>
          <w:rFonts w:hint="eastAsia"/>
          <w:sz w:val="24"/>
        </w:rPr>
        <w:t>202</w:t>
      </w:r>
      <w:r>
        <w:rPr>
          <w:sz w:val="24"/>
        </w:rPr>
        <w:t>4</w:t>
      </w:r>
      <w:r>
        <w:rPr>
          <w:rFonts w:hint="eastAsia"/>
          <w:sz w:val="24"/>
        </w:rPr>
        <w:t>年3月-2023年</w:t>
      </w:r>
      <w:r>
        <w:rPr>
          <w:sz w:val="24"/>
        </w:rPr>
        <w:t>7</w:t>
      </w:r>
      <w:r>
        <w:rPr>
          <w:rFonts w:hint="eastAsia"/>
          <w:sz w:val="24"/>
        </w:rPr>
        <w:t>月： 整理汇总意见，修改征求意见稿，形成送审稿；</w:t>
      </w:r>
    </w:p>
    <w:p w14:paraId="24B7BA57">
      <w:pPr>
        <w:spacing w:line="360" w:lineRule="auto"/>
        <w:outlineLvl w:val="0"/>
        <w:rPr>
          <w:sz w:val="24"/>
        </w:rPr>
      </w:pPr>
      <w:r>
        <w:rPr>
          <w:rFonts w:hint="eastAsia"/>
          <w:sz w:val="24"/>
        </w:rPr>
        <w:t>202</w:t>
      </w:r>
      <w:r>
        <w:rPr>
          <w:sz w:val="24"/>
        </w:rPr>
        <w:t>4</w:t>
      </w:r>
      <w:r>
        <w:rPr>
          <w:rFonts w:hint="eastAsia"/>
          <w:sz w:val="24"/>
        </w:rPr>
        <w:t>年</w:t>
      </w:r>
      <w:r>
        <w:rPr>
          <w:sz w:val="24"/>
        </w:rPr>
        <w:t>8</w:t>
      </w:r>
      <w:r>
        <w:rPr>
          <w:rFonts w:hint="eastAsia"/>
          <w:sz w:val="24"/>
        </w:rPr>
        <w:t>月-202</w:t>
      </w:r>
      <w:r>
        <w:rPr>
          <w:sz w:val="24"/>
        </w:rPr>
        <w:t>4</w:t>
      </w:r>
      <w:r>
        <w:rPr>
          <w:rFonts w:hint="eastAsia"/>
          <w:sz w:val="24"/>
        </w:rPr>
        <w:t>年1</w:t>
      </w:r>
      <w:r>
        <w:rPr>
          <w:sz w:val="24"/>
        </w:rPr>
        <w:t>0</w:t>
      </w:r>
      <w:r>
        <w:rPr>
          <w:rFonts w:hint="eastAsia"/>
          <w:sz w:val="24"/>
        </w:rPr>
        <w:t>月：报委员会审定。</w:t>
      </w:r>
    </w:p>
    <w:p w14:paraId="4DE3075A">
      <w:pPr>
        <w:spacing w:line="360" w:lineRule="auto"/>
        <w:outlineLvl w:val="0"/>
        <w:rPr>
          <w:b/>
          <w:bCs/>
          <w:sz w:val="28"/>
          <w:szCs w:val="28"/>
        </w:rPr>
      </w:pPr>
      <w:r>
        <w:rPr>
          <w:rFonts w:hint="eastAsia"/>
          <w:b/>
          <w:bCs/>
          <w:sz w:val="28"/>
          <w:szCs w:val="28"/>
        </w:rPr>
        <w:t>四</w:t>
      </w:r>
      <w:r>
        <w:rPr>
          <w:b/>
          <w:bCs/>
          <w:sz w:val="28"/>
          <w:szCs w:val="28"/>
        </w:rPr>
        <w:t>、制定规范主要参考的文件和依据</w:t>
      </w:r>
    </w:p>
    <w:p w14:paraId="3012DCB0">
      <w:pPr>
        <w:tabs>
          <w:tab w:val="left" w:pos="540"/>
        </w:tabs>
        <w:autoSpaceDE w:val="0"/>
        <w:autoSpaceDN w:val="0"/>
        <w:adjustRightInd w:val="0"/>
        <w:spacing w:line="360" w:lineRule="auto"/>
        <w:ind w:firstLine="480" w:firstLineChars="200"/>
        <w:rPr>
          <w:sz w:val="24"/>
        </w:rPr>
      </w:pPr>
      <w:r>
        <w:rPr>
          <w:rFonts w:hint="eastAsia"/>
          <w:sz w:val="24"/>
        </w:rPr>
        <w:t>计量技术</w:t>
      </w:r>
      <w:r>
        <w:rPr>
          <w:sz w:val="24"/>
        </w:rPr>
        <w:t>规范参考</w:t>
      </w:r>
      <w:r>
        <w:rPr>
          <w:rFonts w:hint="eastAsia"/>
          <w:sz w:val="24"/>
        </w:rPr>
        <w:t>文件如下：</w:t>
      </w:r>
    </w:p>
    <w:p w14:paraId="2F84C100">
      <w:pPr>
        <w:tabs>
          <w:tab w:val="left" w:pos="540"/>
        </w:tabs>
        <w:autoSpaceDE w:val="0"/>
        <w:autoSpaceDN w:val="0"/>
        <w:adjustRightInd w:val="0"/>
        <w:spacing w:line="360" w:lineRule="auto"/>
        <w:jc w:val="left"/>
        <w:rPr>
          <w:sz w:val="24"/>
        </w:rPr>
      </w:pPr>
      <w:r>
        <w:rPr>
          <w:sz w:val="24"/>
        </w:rPr>
        <w:t>GB/T 9534-1988《毫米波频段固体电介质材料介电特性测试方法 准光腔法》</w:t>
      </w:r>
      <w:r>
        <w:rPr>
          <w:rFonts w:hint="eastAsia"/>
          <w:sz w:val="24"/>
        </w:rPr>
        <w:t>；</w:t>
      </w:r>
      <w:r>
        <w:rPr>
          <w:sz w:val="24"/>
        </w:rPr>
        <w:t>T/CSTM 00750-2022《毫米波频段材料介电性能测试 开放式半球型谐振腔法》</w:t>
      </w:r>
      <w:r>
        <w:rPr>
          <w:rFonts w:hint="eastAsia"/>
          <w:sz w:val="24"/>
        </w:rPr>
        <w:t>；</w:t>
      </w:r>
      <w:r>
        <w:rPr>
          <w:sz w:val="24"/>
        </w:rPr>
        <w:t>T/CSTM 01011-2023《毫米波频段材料介电性能测试 开放式共聚焦谐振腔法》</w:t>
      </w:r>
      <w:r>
        <w:rPr>
          <w:rFonts w:hint="eastAsia"/>
          <w:sz w:val="24"/>
        </w:rPr>
        <w:t>；</w:t>
      </w:r>
    </w:p>
    <w:p w14:paraId="2E0AA971">
      <w:pPr>
        <w:tabs>
          <w:tab w:val="left" w:pos="540"/>
        </w:tabs>
        <w:autoSpaceDE w:val="0"/>
        <w:autoSpaceDN w:val="0"/>
        <w:adjustRightInd w:val="0"/>
        <w:spacing w:line="360" w:lineRule="auto"/>
        <w:jc w:val="left"/>
        <w:rPr>
          <w:sz w:val="24"/>
        </w:rPr>
      </w:pPr>
      <w:r>
        <w:rPr>
          <w:sz w:val="24"/>
        </w:rPr>
        <w:t>JJF（电子）0028-2019《低损耗介质材料复介电常数标准样片校准规范》</w:t>
      </w:r>
      <w:r>
        <w:rPr>
          <w:rFonts w:hint="eastAsia"/>
          <w:sz w:val="24"/>
        </w:rPr>
        <w:t>；</w:t>
      </w:r>
    </w:p>
    <w:p w14:paraId="51DE4A93">
      <w:pPr>
        <w:tabs>
          <w:tab w:val="left" w:pos="540"/>
        </w:tabs>
        <w:autoSpaceDE w:val="0"/>
        <w:autoSpaceDN w:val="0"/>
        <w:adjustRightInd w:val="0"/>
        <w:spacing w:line="360" w:lineRule="auto"/>
        <w:jc w:val="left"/>
        <w:rPr>
          <w:sz w:val="24"/>
        </w:rPr>
      </w:pPr>
      <w:r>
        <w:rPr>
          <w:sz w:val="24"/>
        </w:rPr>
        <w:t>GB/T 31838.1</w:t>
      </w:r>
      <w:r>
        <w:rPr>
          <w:rFonts w:hint="eastAsia"/>
          <w:sz w:val="24"/>
        </w:rPr>
        <w:t>-</w:t>
      </w:r>
      <w:r>
        <w:rPr>
          <w:sz w:val="24"/>
        </w:rPr>
        <w:t>2015 固体绝缘材料 介电和电阻特性</w:t>
      </w:r>
      <w:r>
        <w:rPr>
          <w:rFonts w:hint="eastAsia"/>
          <w:sz w:val="24"/>
        </w:rPr>
        <w:t xml:space="preserve"> </w:t>
      </w:r>
      <w:r>
        <w:rPr>
          <w:sz w:val="24"/>
        </w:rPr>
        <w:t>第1部分</w:t>
      </w:r>
      <w:r>
        <w:rPr>
          <w:rFonts w:hint="eastAsia"/>
          <w:sz w:val="24"/>
        </w:rPr>
        <w:t>：总则；</w:t>
      </w:r>
    </w:p>
    <w:p w14:paraId="69F67D52">
      <w:pPr>
        <w:tabs>
          <w:tab w:val="left" w:pos="540"/>
        </w:tabs>
        <w:autoSpaceDE w:val="0"/>
        <w:autoSpaceDN w:val="0"/>
        <w:adjustRightInd w:val="0"/>
        <w:spacing w:line="360" w:lineRule="auto"/>
        <w:jc w:val="left"/>
        <w:rPr>
          <w:sz w:val="24"/>
        </w:rPr>
      </w:pPr>
      <w:r>
        <w:rPr>
          <w:sz w:val="24"/>
        </w:rPr>
        <w:t>GB/T 31838.6</w:t>
      </w:r>
      <w:r>
        <w:rPr>
          <w:rFonts w:hint="eastAsia"/>
          <w:sz w:val="24"/>
        </w:rPr>
        <w:t>-</w:t>
      </w:r>
      <w:r>
        <w:rPr>
          <w:sz w:val="24"/>
        </w:rPr>
        <w:t>2021 固体绝缘材料 介电和电阻特性</w:t>
      </w:r>
      <w:r>
        <w:rPr>
          <w:rFonts w:hint="eastAsia"/>
          <w:sz w:val="24"/>
        </w:rPr>
        <w:t xml:space="preserve"> </w:t>
      </w:r>
      <w:r>
        <w:rPr>
          <w:sz w:val="24"/>
        </w:rPr>
        <w:t>第6部分</w:t>
      </w:r>
      <w:r>
        <w:rPr>
          <w:rFonts w:hint="eastAsia"/>
          <w:sz w:val="24"/>
        </w:rPr>
        <w:t>：</w:t>
      </w:r>
      <w:r>
        <w:rPr>
          <w:sz w:val="24"/>
        </w:rPr>
        <w:t>介电特性(AC方法)相对介电常数和介质损耗因数(频率0.1</w:t>
      </w:r>
      <w:r>
        <w:rPr>
          <w:rFonts w:hint="eastAsia"/>
          <w:sz w:val="24"/>
        </w:rPr>
        <w:t xml:space="preserve"> </w:t>
      </w:r>
      <w:r>
        <w:rPr>
          <w:sz w:val="24"/>
        </w:rPr>
        <w:t>Hz~10</w:t>
      </w:r>
      <w:r>
        <w:rPr>
          <w:rFonts w:hint="eastAsia"/>
          <w:sz w:val="24"/>
        </w:rPr>
        <w:t xml:space="preserve"> </w:t>
      </w:r>
      <w:r>
        <w:rPr>
          <w:sz w:val="24"/>
        </w:rPr>
        <w:t>MHz)</w:t>
      </w:r>
      <w:r>
        <w:rPr>
          <w:rFonts w:hint="eastAsia"/>
          <w:sz w:val="24"/>
        </w:rPr>
        <w:t>；</w:t>
      </w:r>
    </w:p>
    <w:p w14:paraId="56E120FC">
      <w:pPr>
        <w:tabs>
          <w:tab w:val="left" w:pos="540"/>
        </w:tabs>
        <w:autoSpaceDE w:val="0"/>
        <w:autoSpaceDN w:val="0"/>
        <w:adjustRightInd w:val="0"/>
        <w:spacing w:line="360" w:lineRule="auto"/>
        <w:jc w:val="left"/>
        <w:rPr>
          <w:sz w:val="24"/>
        </w:rPr>
      </w:pPr>
      <w:r>
        <w:rPr>
          <w:sz w:val="24"/>
        </w:rPr>
        <w:t>JIS R 1660-2</w:t>
      </w:r>
      <w:r>
        <w:rPr>
          <w:rFonts w:hint="eastAsia"/>
          <w:sz w:val="24"/>
        </w:rPr>
        <w:t>-</w:t>
      </w:r>
      <w:r>
        <w:rPr>
          <w:sz w:val="24"/>
        </w:rPr>
        <w:t xml:space="preserve">2004 </w:t>
      </w:r>
      <w:bookmarkStart w:id="0" w:name="_Toc49282760"/>
      <w:bookmarkStart w:id="1" w:name="_Toc95211203"/>
      <w:bookmarkStart w:id="2" w:name="_Toc22424"/>
      <w:bookmarkStart w:id="3" w:name="_Toc6590"/>
      <w:bookmarkStart w:id="4" w:name="_Toc49280947"/>
      <w:r>
        <w:rPr>
          <w:rFonts w:hint="eastAsia"/>
          <w:sz w:val="24"/>
        </w:rPr>
        <w:t>毫米波段精细陶瓷介电性能的测量方法-第2部分：开放式谐振腔法</w:t>
      </w:r>
      <w:bookmarkEnd w:id="0"/>
      <w:bookmarkEnd w:id="1"/>
      <w:bookmarkEnd w:id="2"/>
      <w:bookmarkEnd w:id="3"/>
      <w:bookmarkEnd w:id="4"/>
      <w:r>
        <w:rPr>
          <w:rFonts w:hint="eastAsia"/>
          <w:sz w:val="24"/>
        </w:rPr>
        <w:t>（</w:t>
      </w:r>
      <w:r>
        <w:rPr>
          <w:sz w:val="24"/>
        </w:rPr>
        <w:t>JIS R1660-2-2004 Measurement method for dielectric properties of fine ceramics </w:t>
      </w:r>
    </w:p>
    <w:p w14:paraId="4C98C6E7">
      <w:pPr>
        <w:tabs>
          <w:tab w:val="left" w:pos="540"/>
        </w:tabs>
        <w:autoSpaceDE w:val="0"/>
        <w:autoSpaceDN w:val="0"/>
        <w:adjustRightInd w:val="0"/>
        <w:spacing w:line="360" w:lineRule="auto"/>
        <w:jc w:val="left"/>
        <w:rPr>
          <w:sz w:val="24"/>
        </w:rPr>
      </w:pPr>
      <w:r>
        <w:rPr>
          <w:sz w:val="24"/>
        </w:rPr>
        <w:t>in millimeter wave frequency range -- Part 2：Open resonator method</w:t>
      </w:r>
      <w:r>
        <w:rPr>
          <w:rFonts w:hint="eastAsia"/>
          <w:sz w:val="24"/>
        </w:rPr>
        <w:t>）.</w:t>
      </w:r>
    </w:p>
    <w:p w14:paraId="23044C7E">
      <w:pPr>
        <w:spacing w:line="360" w:lineRule="auto"/>
        <w:outlineLvl w:val="0"/>
        <w:rPr>
          <w:b/>
          <w:bCs/>
          <w:sz w:val="28"/>
          <w:szCs w:val="28"/>
        </w:rPr>
      </w:pPr>
      <w:r>
        <w:rPr>
          <w:rFonts w:hint="eastAsia"/>
          <w:b/>
          <w:bCs/>
          <w:sz w:val="28"/>
          <w:szCs w:val="28"/>
        </w:rPr>
        <w:t>五</w:t>
      </w:r>
      <w:r>
        <w:rPr>
          <w:b/>
          <w:bCs/>
          <w:sz w:val="28"/>
          <w:szCs w:val="28"/>
        </w:rPr>
        <w:t>、规范的主要内容及主要技术关键</w:t>
      </w:r>
    </w:p>
    <w:p w14:paraId="6DD0A52F">
      <w:pPr>
        <w:spacing w:line="360" w:lineRule="auto"/>
        <w:outlineLvl w:val="0"/>
        <w:rPr>
          <w:sz w:val="24"/>
        </w:rPr>
      </w:pPr>
      <w:r>
        <w:rPr>
          <w:rFonts w:hint="eastAsia"/>
          <w:sz w:val="24"/>
        </w:rPr>
        <w:t>计量技术规范的主要内容：</w:t>
      </w:r>
    </w:p>
    <w:p w14:paraId="16EEA663">
      <w:pPr>
        <w:spacing w:line="360" w:lineRule="auto"/>
        <w:outlineLvl w:val="0"/>
        <w:rPr>
          <w:sz w:val="24"/>
        </w:rPr>
      </w:pPr>
      <w:r>
        <w:rPr>
          <w:sz w:val="24"/>
        </w:rPr>
        <w:t xml:space="preserve">1 </w:t>
      </w:r>
      <w:r>
        <w:fldChar w:fldCharType="begin"/>
      </w:r>
      <w:r>
        <w:instrText xml:space="preserve"> HYPERLINK \l "_Toc17845" </w:instrText>
      </w:r>
      <w:r>
        <w:fldChar w:fldCharType="separate"/>
      </w:r>
      <w:r>
        <w:rPr>
          <w:sz w:val="24"/>
        </w:rPr>
        <w:t>引 言</w:t>
      </w:r>
      <w:r>
        <w:rPr>
          <w:sz w:val="24"/>
        </w:rPr>
        <w:fldChar w:fldCharType="end"/>
      </w:r>
    </w:p>
    <w:p w14:paraId="79DE964D">
      <w:pPr>
        <w:spacing w:line="360" w:lineRule="auto"/>
        <w:outlineLvl w:val="0"/>
        <w:rPr>
          <w:sz w:val="24"/>
        </w:rPr>
      </w:pPr>
      <w:r>
        <w:fldChar w:fldCharType="begin"/>
      </w:r>
      <w:r>
        <w:instrText xml:space="preserve"> HYPERLINK \l "_Toc3557" </w:instrText>
      </w:r>
      <w:r>
        <w:fldChar w:fldCharType="separate"/>
      </w:r>
      <w:r>
        <w:rPr>
          <w:sz w:val="24"/>
        </w:rPr>
        <w:t>2 范围</w:t>
      </w:r>
      <w:r>
        <w:rPr>
          <w:sz w:val="24"/>
        </w:rPr>
        <w:fldChar w:fldCharType="end"/>
      </w:r>
    </w:p>
    <w:p w14:paraId="37DDD4E3">
      <w:pPr>
        <w:spacing w:line="360" w:lineRule="auto"/>
        <w:outlineLvl w:val="0"/>
        <w:rPr>
          <w:sz w:val="24"/>
        </w:rPr>
      </w:pPr>
      <w:r>
        <w:fldChar w:fldCharType="begin"/>
      </w:r>
      <w:r>
        <w:instrText xml:space="preserve"> HYPERLINK \l "_Toc18575" </w:instrText>
      </w:r>
      <w:r>
        <w:fldChar w:fldCharType="separate"/>
      </w:r>
      <w:r>
        <w:rPr>
          <w:sz w:val="24"/>
        </w:rPr>
        <w:t>3 引用文件</w:t>
      </w:r>
      <w:r>
        <w:rPr>
          <w:sz w:val="24"/>
        </w:rPr>
        <w:fldChar w:fldCharType="end"/>
      </w:r>
    </w:p>
    <w:p w14:paraId="46B1224D">
      <w:pPr>
        <w:spacing w:line="360" w:lineRule="auto"/>
        <w:outlineLvl w:val="0"/>
        <w:rPr>
          <w:sz w:val="24"/>
        </w:rPr>
      </w:pPr>
      <w:r>
        <w:fldChar w:fldCharType="begin"/>
      </w:r>
      <w:r>
        <w:instrText xml:space="preserve"> HYPERLINK \l "_Toc2071" </w:instrText>
      </w:r>
      <w:r>
        <w:fldChar w:fldCharType="separate"/>
      </w:r>
      <w:r>
        <w:rPr>
          <w:sz w:val="24"/>
        </w:rPr>
        <w:t>4 术语和定义</w:t>
      </w:r>
      <w:r>
        <w:rPr>
          <w:sz w:val="24"/>
        </w:rPr>
        <w:fldChar w:fldCharType="end"/>
      </w:r>
    </w:p>
    <w:p w14:paraId="47F203E6">
      <w:pPr>
        <w:spacing w:line="360" w:lineRule="auto"/>
        <w:outlineLvl w:val="0"/>
        <w:rPr>
          <w:sz w:val="24"/>
        </w:rPr>
      </w:pPr>
      <w:r>
        <w:fldChar w:fldCharType="begin"/>
      </w:r>
      <w:r>
        <w:instrText xml:space="preserve"> HYPERLINK \l "_Toc16219" </w:instrText>
      </w:r>
      <w:r>
        <w:fldChar w:fldCharType="separate"/>
      </w:r>
      <w:r>
        <w:rPr>
          <w:sz w:val="24"/>
        </w:rPr>
        <w:t>5 概述</w:t>
      </w:r>
      <w:r>
        <w:rPr>
          <w:sz w:val="24"/>
        </w:rPr>
        <w:fldChar w:fldCharType="end"/>
      </w:r>
    </w:p>
    <w:p w14:paraId="12D1156F">
      <w:pPr>
        <w:spacing w:line="360" w:lineRule="auto"/>
        <w:outlineLvl w:val="0"/>
        <w:rPr>
          <w:sz w:val="24"/>
        </w:rPr>
      </w:pPr>
      <w:r>
        <w:fldChar w:fldCharType="begin"/>
      </w:r>
      <w:r>
        <w:instrText xml:space="preserve"> HYPERLINK \l "_Toc10919" </w:instrText>
      </w:r>
      <w:r>
        <w:fldChar w:fldCharType="separate"/>
      </w:r>
      <w:r>
        <w:rPr>
          <w:sz w:val="24"/>
        </w:rPr>
        <w:t>6 计量特性</w:t>
      </w:r>
      <w:r>
        <w:rPr>
          <w:sz w:val="24"/>
        </w:rPr>
        <w:fldChar w:fldCharType="end"/>
      </w:r>
    </w:p>
    <w:p w14:paraId="6DE11CA1">
      <w:pPr>
        <w:spacing w:line="360" w:lineRule="auto"/>
        <w:outlineLvl w:val="0"/>
        <w:rPr>
          <w:sz w:val="24"/>
        </w:rPr>
      </w:pPr>
      <w:r>
        <w:fldChar w:fldCharType="begin"/>
      </w:r>
      <w:r>
        <w:instrText xml:space="preserve"> HYPERLINK \l "_Toc7529" </w:instrText>
      </w:r>
      <w:r>
        <w:fldChar w:fldCharType="separate"/>
      </w:r>
      <w:r>
        <w:rPr>
          <w:sz w:val="24"/>
        </w:rPr>
        <w:t>7 测量条件</w:t>
      </w:r>
      <w:r>
        <w:rPr>
          <w:sz w:val="24"/>
        </w:rPr>
        <w:fldChar w:fldCharType="end"/>
      </w:r>
    </w:p>
    <w:p w14:paraId="513EC983">
      <w:pPr>
        <w:spacing w:line="360" w:lineRule="auto"/>
        <w:outlineLvl w:val="0"/>
        <w:rPr>
          <w:sz w:val="24"/>
        </w:rPr>
      </w:pPr>
      <w:r>
        <w:fldChar w:fldCharType="begin"/>
      </w:r>
      <w:r>
        <w:instrText xml:space="preserve"> HYPERLINK \l "_Toc9852" </w:instrText>
      </w:r>
      <w:r>
        <w:fldChar w:fldCharType="separate"/>
      </w:r>
      <w:r>
        <w:rPr>
          <w:sz w:val="24"/>
        </w:rPr>
        <w:t>8 测量方法</w:t>
      </w:r>
      <w:r>
        <w:rPr>
          <w:sz w:val="24"/>
        </w:rPr>
        <w:fldChar w:fldCharType="end"/>
      </w:r>
    </w:p>
    <w:p w14:paraId="37A8FC5D">
      <w:pPr>
        <w:spacing w:line="360" w:lineRule="auto"/>
        <w:outlineLvl w:val="0"/>
        <w:rPr>
          <w:sz w:val="24"/>
        </w:rPr>
      </w:pPr>
      <w:r>
        <w:fldChar w:fldCharType="begin"/>
      </w:r>
      <w:r>
        <w:instrText xml:space="preserve"> HYPERLINK \l "_Toc28706" </w:instrText>
      </w:r>
      <w:r>
        <w:fldChar w:fldCharType="separate"/>
      </w:r>
      <w:r>
        <w:rPr>
          <w:sz w:val="24"/>
        </w:rPr>
        <w:t>9 测量结果表达</w:t>
      </w:r>
      <w:r>
        <w:rPr>
          <w:sz w:val="24"/>
        </w:rPr>
        <w:fldChar w:fldCharType="end"/>
      </w:r>
    </w:p>
    <w:p w14:paraId="5A0B2398">
      <w:pPr>
        <w:spacing w:line="360" w:lineRule="auto"/>
        <w:outlineLvl w:val="0"/>
        <w:rPr>
          <w:sz w:val="24"/>
        </w:rPr>
      </w:pPr>
      <w:r>
        <w:rPr>
          <w:rFonts w:hint="eastAsia"/>
          <w:sz w:val="24"/>
        </w:rPr>
        <w:t>1</w:t>
      </w:r>
      <w:r>
        <w:rPr>
          <w:sz w:val="24"/>
        </w:rPr>
        <w:t>0</w:t>
      </w:r>
      <w:r>
        <w:rPr>
          <w:rFonts w:hint="eastAsia"/>
          <w:sz w:val="24"/>
        </w:rPr>
        <w:t>附录</w:t>
      </w:r>
    </w:p>
    <w:p w14:paraId="43BC1D71">
      <w:pPr>
        <w:spacing w:line="360" w:lineRule="auto"/>
        <w:outlineLvl w:val="0"/>
        <w:rPr>
          <w:sz w:val="24"/>
        </w:rPr>
      </w:pPr>
      <w:r>
        <w:rPr>
          <w:rFonts w:hint="eastAsia"/>
          <w:sz w:val="24"/>
        </w:rPr>
        <w:t>计量技术规范的主要技术关键：</w:t>
      </w:r>
    </w:p>
    <w:p w14:paraId="22454737">
      <w:pPr>
        <w:spacing w:line="360" w:lineRule="auto"/>
        <w:outlineLvl w:val="0"/>
        <w:rPr>
          <w:sz w:val="24"/>
        </w:rPr>
      </w:pPr>
      <w:r>
        <w:rPr>
          <w:rFonts w:hint="eastAsia"/>
          <w:sz w:val="24"/>
        </w:rPr>
        <w:t>1</w:t>
      </w:r>
      <w:r>
        <w:rPr>
          <w:sz w:val="24"/>
        </w:rPr>
        <w:t xml:space="preserve">. </w:t>
      </w:r>
      <w:r>
        <w:rPr>
          <w:rFonts w:hint="eastAsia"/>
          <w:sz w:val="24"/>
        </w:rPr>
        <w:t>确定合理的校准项目、计量特性和相应技术要求，主要有介电常数示值误差、介质损耗角正切的示值误差、精密度试验等。</w:t>
      </w:r>
    </w:p>
    <w:p w14:paraId="26AE7EDC">
      <w:pPr>
        <w:spacing w:line="360" w:lineRule="auto"/>
        <w:outlineLvl w:val="0"/>
        <w:rPr>
          <w:sz w:val="24"/>
        </w:rPr>
      </w:pPr>
      <w:r>
        <w:rPr>
          <w:rFonts w:hint="eastAsia"/>
          <w:sz w:val="24"/>
        </w:rPr>
        <w:t>2</w:t>
      </w:r>
      <w:r>
        <w:rPr>
          <w:sz w:val="24"/>
        </w:rPr>
        <w:t xml:space="preserve">. </w:t>
      </w:r>
      <w:r>
        <w:rPr>
          <w:rFonts w:hint="eastAsia"/>
          <w:sz w:val="24"/>
        </w:rPr>
        <w:t>确立科学完善、操作性强的校准方法。</w:t>
      </w:r>
    </w:p>
    <w:p w14:paraId="6DD99B06">
      <w:pPr>
        <w:spacing w:line="360" w:lineRule="auto"/>
        <w:outlineLvl w:val="0"/>
        <w:rPr>
          <w:sz w:val="24"/>
        </w:rPr>
      </w:pPr>
      <w:r>
        <w:rPr>
          <w:rFonts w:hint="eastAsia"/>
          <w:sz w:val="24"/>
        </w:rPr>
        <w:t>3</w:t>
      </w:r>
      <w:r>
        <w:rPr>
          <w:sz w:val="24"/>
        </w:rPr>
        <w:t xml:space="preserve">. </w:t>
      </w:r>
      <w:r>
        <w:rPr>
          <w:rFonts w:hint="eastAsia"/>
          <w:sz w:val="24"/>
        </w:rPr>
        <w:t>结合检测方法及相应校准器具，给出各计量特性的数据评定方法及不确定度评定方法。</w:t>
      </w:r>
    </w:p>
    <w:p w14:paraId="674B20F7">
      <w:pPr>
        <w:spacing w:line="360" w:lineRule="auto"/>
        <w:outlineLvl w:val="0"/>
        <w:rPr>
          <w:b/>
          <w:bCs/>
          <w:sz w:val="28"/>
          <w:szCs w:val="28"/>
        </w:rPr>
      </w:pPr>
      <w:r>
        <w:rPr>
          <w:rFonts w:hint="eastAsia"/>
          <w:b/>
          <w:bCs/>
          <w:sz w:val="28"/>
          <w:szCs w:val="28"/>
        </w:rPr>
        <w:t>六</w:t>
      </w:r>
      <w:r>
        <w:rPr>
          <w:b/>
          <w:bCs/>
          <w:sz w:val="28"/>
          <w:szCs w:val="28"/>
        </w:rPr>
        <w:t>、验证试验的情况和结果</w:t>
      </w:r>
    </w:p>
    <w:p w14:paraId="0DD53E32">
      <w:pPr>
        <w:autoSpaceDE w:val="0"/>
        <w:autoSpaceDN w:val="0"/>
        <w:adjustRightInd w:val="0"/>
        <w:spacing w:line="360" w:lineRule="auto"/>
        <w:ind w:left="2240" w:hanging="2240"/>
        <w:rPr>
          <w:rStyle w:val="20"/>
          <w:rFonts w:ascii="Times New Roman" w:hAnsi="Times New Roman" w:eastAsiaTheme="minorEastAsia"/>
          <w:b w:val="0"/>
          <w:sz w:val="22"/>
          <w:szCs w:val="22"/>
        </w:rPr>
      </w:pPr>
      <w:bookmarkStart w:id="5" w:name="_Toc359"/>
      <w:r>
        <w:rPr>
          <w:rStyle w:val="20"/>
          <w:rFonts w:ascii="Times New Roman" w:hAnsi="Times New Roman" w:eastAsiaTheme="minorEastAsia"/>
          <w:b w:val="0"/>
          <w:sz w:val="22"/>
          <w:szCs w:val="22"/>
        </w:rPr>
        <w:t>6.1 样品准备</w:t>
      </w:r>
    </w:p>
    <w:bookmarkEnd w:id="5"/>
    <w:p w14:paraId="53DAB3D3">
      <w:pPr>
        <w:autoSpaceDE w:val="0"/>
        <w:autoSpaceDN w:val="0"/>
        <w:adjustRightInd w:val="0"/>
        <w:spacing w:line="360" w:lineRule="auto"/>
        <w:jc w:val="left"/>
        <w:rPr>
          <w:bCs/>
          <w:sz w:val="22"/>
          <w:szCs w:val="22"/>
        </w:rPr>
      </w:pPr>
      <w:r>
        <w:rPr>
          <w:bCs/>
          <w:sz w:val="22"/>
          <w:szCs w:val="22"/>
        </w:rPr>
        <w:t>6.2.1 样品</w:t>
      </w:r>
      <w:r>
        <w:rPr>
          <w:rFonts w:hint="eastAsia"/>
          <w:bCs/>
          <w:sz w:val="22"/>
          <w:szCs w:val="22"/>
        </w:rPr>
        <w:t>选择</w:t>
      </w:r>
    </w:p>
    <w:p w14:paraId="259877D2">
      <w:pPr>
        <w:autoSpaceDE w:val="0"/>
        <w:autoSpaceDN w:val="0"/>
        <w:adjustRightInd w:val="0"/>
        <w:spacing w:line="360" w:lineRule="auto"/>
        <w:jc w:val="left"/>
        <w:rPr>
          <w:bCs/>
          <w:sz w:val="22"/>
          <w:szCs w:val="22"/>
        </w:rPr>
      </w:pPr>
      <w:r>
        <w:rPr>
          <w:rFonts w:hint="eastAsia"/>
          <w:bCs/>
          <w:sz w:val="22"/>
          <w:szCs w:val="22"/>
        </w:rPr>
        <w:t>选择</w:t>
      </w:r>
      <w:r>
        <w:rPr>
          <w:rFonts w:hint="eastAsia"/>
          <w:b/>
          <w:color w:val="000000" w:themeColor="text1"/>
          <w:sz w:val="22"/>
          <w:szCs w:val="22"/>
          <w14:textFill>
            <w14:solidFill>
              <w14:schemeClr w14:val="tx1"/>
            </w14:solidFill>
          </w14:textFill>
        </w:rPr>
        <w:t>单晶石英、蓝宝石、微波介质陶瓷R1样品</w:t>
      </w:r>
      <w:r>
        <w:rPr>
          <w:rFonts w:hint="eastAsia"/>
          <w:bCs/>
          <w:sz w:val="22"/>
          <w:szCs w:val="22"/>
        </w:rPr>
        <w:t>作为本次测试样品。</w:t>
      </w:r>
    </w:p>
    <w:p w14:paraId="100A2F48">
      <w:pPr>
        <w:autoSpaceDE w:val="0"/>
        <w:autoSpaceDN w:val="0"/>
        <w:adjustRightInd w:val="0"/>
        <w:spacing w:line="360" w:lineRule="auto"/>
        <w:jc w:val="left"/>
        <w:rPr>
          <w:bCs/>
          <w:sz w:val="22"/>
          <w:szCs w:val="22"/>
        </w:rPr>
      </w:pPr>
      <w:r>
        <w:rPr>
          <w:bCs/>
          <w:sz w:val="22"/>
          <w:szCs w:val="22"/>
        </w:rPr>
        <w:t>6.2.1 样品预处理</w:t>
      </w:r>
    </w:p>
    <w:p w14:paraId="7F0CA58F">
      <w:pPr>
        <w:pStyle w:val="21"/>
        <w:spacing w:line="360" w:lineRule="auto"/>
        <w:ind w:firstLine="440"/>
        <w:rPr>
          <w:rFonts w:eastAsiaTheme="minorEastAsia"/>
          <w:sz w:val="22"/>
          <w:szCs w:val="22"/>
        </w:rPr>
      </w:pPr>
      <w:r>
        <w:rPr>
          <w:rFonts w:eastAsiaTheme="minorEastAsia"/>
          <w:sz w:val="22"/>
          <w:szCs w:val="22"/>
        </w:rPr>
        <w:t>试验前，所有试样应置于温度为21</w:t>
      </w:r>
      <w:r>
        <w:rPr>
          <w:rFonts w:hint="eastAsia" w:ascii="宋体" w:hAnsi="宋体" w:cs="宋体"/>
          <w:sz w:val="22"/>
          <w:szCs w:val="22"/>
        </w:rPr>
        <w:t>℃</w:t>
      </w:r>
      <w:r>
        <w:rPr>
          <w:rFonts w:eastAsiaTheme="minorEastAsia"/>
          <w:sz w:val="22"/>
          <w:szCs w:val="22"/>
        </w:rPr>
        <w:t>~25</w:t>
      </w:r>
      <w:r>
        <w:rPr>
          <w:rFonts w:hint="eastAsia" w:ascii="宋体" w:hAnsi="宋体" w:cs="宋体"/>
          <w:sz w:val="22"/>
          <w:szCs w:val="22"/>
        </w:rPr>
        <w:t>℃</w:t>
      </w:r>
      <w:r>
        <w:rPr>
          <w:rFonts w:eastAsiaTheme="minorEastAsia"/>
          <w:sz w:val="22"/>
          <w:szCs w:val="22"/>
        </w:rPr>
        <w:t>、相对湿度为40%~60%的环境中，预处理至少24 h。但是，如果样品最近被蚀刻或置于过高的湿度环境下，则应将样品置于空气循环烘箱中于103</w:t>
      </w:r>
      <w:r>
        <w:rPr>
          <w:rFonts w:hint="eastAsia" w:ascii="宋体" w:hAnsi="宋体" w:cs="宋体"/>
          <w:sz w:val="22"/>
          <w:szCs w:val="22"/>
        </w:rPr>
        <w:t>℃</w:t>
      </w:r>
      <w:r>
        <w:rPr>
          <w:rFonts w:eastAsiaTheme="minorEastAsia"/>
          <w:sz w:val="22"/>
          <w:szCs w:val="22"/>
        </w:rPr>
        <w:t>~107</w:t>
      </w:r>
      <w:r>
        <w:rPr>
          <w:rFonts w:hint="eastAsia" w:ascii="宋体" w:hAnsi="宋体" w:cs="宋体"/>
          <w:sz w:val="22"/>
          <w:szCs w:val="22"/>
        </w:rPr>
        <w:t>℃</w:t>
      </w:r>
      <w:r>
        <w:rPr>
          <w:rFonts w:eastAsiaTheme="minorEastAsia"/>
          <w:sz w:val="22"/>
          <w:szCs w:val="22"/>
        </w:rPr>
        <w:t>条件下干燥2 h，然后再按上述条件进行预处理。</w:t>
      </w:r>
    </w:p>
    <w:p w14:paraId="462A28BE">
      <w:pPr>
        <w:autoSpaceDE w:val="0"/>
        <w:autoSpaceDN w:val="0"/>
        <w:adjustRightInd w:val="0"/>
        <w:spacing w:line="360" w:lineRule="auto"/>
        <w:ind w:left="2240" w:hanging="2240"/>
        <w:rPr>
          <w:rStyle w:val="20"/>
          <w:rFonts w:ascii="Times New Roman" w:hAnsi="Times New Roman" w:eastAsiaTheme="minorEastAsia"/>
          <w:b w:val="0"/>
          <w:sz w:val="22"/>
          <w:szCs w:val="22"/>
        </w:rPr>
      </w:pPr>
      <w:bookmarkStart w:id="6" w:name="_Toc28476"/>
      <w:r>
        <w:rPr>
          <w:rStyle w:val="20"/>
          <w:rFonts w:ascii="Times New Roman" w:hAnsi="Times New Roman" w:eastAsiaTheme="minorEastAsia"/>
          <w:b w:val="0"/>
          <w:sz w:val="22"/>
          <w:szCs w:val="22"/>
        </w:rPr>
        <w:t>6.2 参数测试过程</w:t>
      </w:r>
    </w:p>
    <w:bookmarkEnd w:id="6"/>
    <w:p w14:paraId="13C9A6DA">
      <w:pPr>
        <w:autoSpaceDE w:val="0"/>
        <w:autoSpaceDN w:val="0"/>
        <w:adjustRightInd w:val="0"/>
        <w:spacing w:line="360" w:lineRule="auto"/>
        <w:ind w:left="2240" w:hanging="2240"/>
        <w:rPr>
          <w:rStyle w:val="20"/>
          <w:rFonts w:ascii="Times New Roman" w:hAnsi="Times New Roman" w:eastAsiaTheme="minorEastAsia"/>
          <w:b w:val="0"/>
          <w:sz w:val="22"/>
          <w:szCs w:val="22"/>
        </w:rPr>
      </w:pPr>
      <w:bookmarkStart w:id="7" w:name="_Toc15359"/>
      <w:r>
        <w:rPr>
          <w:rStyle w:val="20"/>
          <w:rFonts w:ascii="Times New Roman" w:hAnsi="Times New Roman" w:eastAsiaTheme="minorEastAsia"/>
          <w:b w:val="0"/>
          <w:sz w:val="22"/>
          <w:szCs w:val="22"/>
        </w:rPr>
        <w:t>6.2.1 厚度</w:t>
      </w:r>
    </w:p>
    <w:bookmarkEnd w:id="7"/>
    <w:p w14:paraId="1CA18DCC">
      <w:pPr>
        <w:autoSpaceDE w:val="0"/>
        <w:autoSpaceDN w:val="0"/>
        <w:adjustRightInd w:val="0"/>
        <w:spacing w:line="360" w:lineRule="auto"/>
        <w:jc w:val="left"/>
        <w:rPr>
          <w:bCs/>
          <w:sz w:val="22"/>
          <w:szCs w:val="22"/>
        </w:rPr>
      </w:pPr>
      <w:r>
        <w:rPr>
          <w:bCs/>
          <w:sz w:val="22"/>
          <w:szCs w:val="22"/>
        </w:rPr>
        <w:t>测试步骤如下所示：</w:t>
      </w:r>
    </w:p>
    <w:p w14:paraId="256FE641">
      <w:pPr>
        <w:pStyle w:val="7"/>
        <w:spacing w:beforeLines="0" w:afterLines="0" w:line="360" w:lineRule="auto"/>
        <w:ind w:firstLine="440" w:firstLineChars="200"/>
        <w:rPr>
          <w:rFonts w:ascii="Times New Roman" w:hAnsi="Times New Roman" w:eastAsiaTheme="minorEastAsia"/>
          <w:b w:val="0"/>
          <w:kern w:val="2"/>
          <w:sz w:val="22"/>
          <w:szCs w:val="22"/>
        </w:rPr>
      </w:pPr>
      <w:r>
        <w:rPr>
          <w:rFonts w:ascii="Times New Roman" w:hAnsi="Times New Roman" w:eastAsiaTheme="minorEastAsia"/>
          <w:b w:val="0"/>
          <w:kern w:val="2"/>
          <w:sz w:val="22"/>
          <w:szCs w:val="22"/>
        </w:rPr>
        <w:t>用经过校准的精度为0.001 mm的螺旋测微计对样品厚度进行测量，测试点包含样品外侧5 mm</w:t>
      </w:r>
      <w:r>
        <w:rPr>
          <w:rFonts w:ascii="Times New Roman" w:hAnsi="Times New Roman" w:eastAsiaTheme="minorEastAsia"/>
          <w:sz w:val="22"/>
          <w:szCs w:val="22"/>
        </w:rPr>
        <w:t>~</w:t>
      </w:r>
      <w:r>
        <w:rPr>
          <w:rFonts w:ascii="Times New Roman" w:hAnsi="Times New Roman" w:eastAsiaTheme="minorEastAsia"/>
          <w:b w:val="0"/>
          <w:kern w:val="2"/>
          <w:sz w:val="22"/>
          <w:szCs w:val="22"/>
        </w:rPr>
        <w:t>10 mm处的4个点及样品的中心点，共计5个点。5个点的测试结果取算数平均值，即为测试样品的厚度。</w:t>
      </w:r>
    </w:p>
    <w:p w14:paraId="3CE9852D">
      <w:r>
        <w:rPr>
          <w:rFonts w:hint="eastAsia"/>
        </w:rPr>
        <w:t>6</w:t>
      </w:r>
      <w:r>
        <w:t xml:space="preserve">.2.2 </w:t>
      </w:r>
      <w:r>
        <w:rPr>
          <w:rFonts w:hint="eastAsia"/>
        </w:rPr>
        <w:t>共焦式准光腔测试</w:t>
      </w:r>
    </w:p>
    <w:p w14:paraId="502AD4A5">
      <w:pPr>
        <w:pStyle w:val="21"/>
        <w:spacing w:line="360" w:lineRule="auto"/>
        <w:ind w:firstLine="0" w:firstLineChars="0"/>
        <w:rPr>
          <w:sz w:val="22"/>
          <w:szCs w:val="22"/>
        </w:rPr>
      </w:pPr>
      <w:r>
        <w:rPr>
          <w:rFonts w:eastAsiaTheme="minorEastAsia"/>
          <w:bCs w:val="0"/>
          <w:sz w:val="22"/>
          <w:szCs w:val="22"/>
        </w:rPr>
        <w:t>（1）</w:t>
      </w:r>
      <w:r>
        <w:rPr>
          <w:rFonts w:hint="eastAsia" w:eastAsiaTheme="minorEastAsia"/>
          <w:bCs w:val="0"/>
          <w:sz w:val="22"/>
          <w:szCs w:val="22"/>
        </w:rPr>
        <w:t>开机：</w:t>
      </w:r>
      <w:r>
        <w:rPr>
          <w:rFonts w:hint="eastAsia"/>
          <w:sz w:val="22"/>
          <w:szCs w:val="22"/>
        </w:rPr>
        <w:t>开启网络分析仪及谐振腔的电源，预热3</w:t>
      </w:r>
      <w:r>
        <w:rPr>
          <w:sz w:val="22"/>
          <w:szCs w:val="22"/>
        </w:rPr>
        <w:t>0</w:t>
      </w:r>
      <w:r>
        <w:rPr>
          <w:rFonts w:hint="eastAsia"/>
          <w:sz w:val="22"/>
          <w:szCs w:val="22"/>
        </w:rPr>
        <w:t xml:space="preserve"> </w:t>
      </w:r>
      <w:r>
        <w:rPr>
          <w:sz w:val="22"/>
          <w:szCs w:val="22"/>
        </w:rPr>
        <w:t>min</w:t>
      </w:r>
      <w:r>
        <w:rPr>
          <w:rFonts w:hint="eastAsia"/>
          <w:sz w:val="22"/>
          <w:szCs w:val="22"/>
        </w:rPr>
        <w:t>，使系统进入稳定运行状态。</w:t>
      </w:r>
    </w:p>
    <w:p w14:paraId="6BECB8B1">
      <w:pPr>
        <w:pStyle w:val="21"/>
        <w:spacing w:line="360" w:lineRule="auto"/>
        <w:ind w:firstLine="0" w:firstLineChars="0"/>
        <w:rPr>
          <w:sz w:val="22"/>
          <w:szCs w:val="22"/>
        </w:rPr>
      </w:pPr>
      <w:r>
        <w:rPr>
          <w:rFonts w:eastAsiaTheme="minorEastAsia"/>
          <w:bCs w:val="0"/>
          <w:sz w:val="22"/>
          <w:szCs w:val="22"/>
        </w:rPr>
        <w:t>（2）</w:t>
      </w:r>
      <w:r>
        <w:rPr>
          <w:rFonts w:hint="eastAsia" w:eastAsiaTheme="minorEastAsia"/>
          <w:bCs w:val="0"/>
          <w:sz w:val="22"/>
          <w:szCs w:val="22"/>
        </w:rPr>
        <w:t>空腔测试：</w:t>
      </w:r>
      <w:r>
        <w:rPr>
          <w:rFonts w:hint="eastAsia"/>
          <w:sz w:val="22"/>
          <w:szCs w:val="22"/>
        </w:rPr>
        <w:t>打开测试软件，选择空腔校正菜单，选择需测试频段，并在所选频段内对网络分析仪进行空腔测试，自动测试程序读取不同频率下的空腔谐振频率</w:t>
      </w:r>
      <m:oMath>
        <m:sSub>
          <m:sSubPr>
            <m:ctrlPr>
              <w:rPr>
                <w:rFonts w:ascii="Cambria Math" w:hAnsi="Cambria Math"/>
                <w:sz w:val="22"/>
                <w:szCs w:val="22"/>
              </w:rPr>
            </m:ctrlPr>
          </m:sSubPr>
          <m:e>
            <m:r>
              <m:rPr/>
              <w:rPr>
                <w:rFonts w:ascii="Cambria Math"/>
                <w:sz w:val="22"/>
                <w:szCs w:val="22"/>
              </w:rPr>
              <m:t>f</m:t>
            </m:r>
            <m:ctrlPr>
              <w:rPr>
                <w:rFonts w:ascii="Cambria Math" w:hAnsi="Cambria Math"/>
                <w:sz w:val="22"/>
                <w:szCs w:val="22"/>
              </w:rPr>
            </m:ctrlPr>
          </m:e>
          <m:sub>
            <m:r>
              <m:rPr/>
              <w:rPr>
                <w:rFonts w:ascii="Cambria Math"/>
                <w:sz w:val="22"/>
                <w:szCs w:val="22"/>
              </w:rPr>
              <m:t>0</m:t>
            </m:r>
            <m:ctrlPr>
              <w:rPr>
                <w:rFonts w:ascii="Cambria Math" w:hAnsi="Cambria Math"/>
                <w:sz w:val="22"/>
                <w:szCs w:val="22"/>
              </w:rPr>
            </m:ctrlPr>
          </m:sub>
        </m:sSub>
      </m:oMath>
      <w:r>
        <w:rPr>
          <w:rFonts w:hint="eastAsia"/>
          <w:sz w:val="22"/>
          <w:szCs w:val="22"/>
        </w:rPr>
        <w:t>及空腔品质因子</w:t>
      </w:r>
      <m:oMath>
        <m:sSub>
          <m:sSubPr>
            <m:ctrlPr>
              <w:rPr>
                <w:rFonts w:ascii="Cambria Math" w:hAnsi="Cambria Math"/>
                <w:sz w:val="22"/>
                <w:szCs w:val="22"/>
              </w:rPr>
            </m:ctrlPr>
          </m:sSubPr>
          <m:e>
            <m:r>
              <m:rPr/>
              <w:rPr>
                <w:rFonts w:ascii="Cambria Math"/>
                <w:sz w:val="22"/>
                <w:szCs w:val="22"/>
              </w:rPr>
              <m:t>Q</m:t>
            </m:r>
            <m:ctrlPr>
              <w:rPr>
                <w:rFonts w:ascii="Cambria Math" w:hAnsi="Cambria Math"/>
                <w:sz w:val="22"/>
                <w:szCs w:val="22"/>
              </w:rPr>
            </m:ctrlPr>
          </m:e>
          <m:sub>
            <m:r>
              <m:rPr/>
              <w:rPr>
                <w:rFonts w:ascii="Cambria Math"/>
                <w:sz w:val="22"/>
                <w:szCs w:val="22"/>
              </w:rPr>
              <m:t>0</m:t>
            </m:r>
            <m:ctrlPr>
              <w:rPr>
                <w:rFonts w:ascii="Cambria Math" w:hAnsi="Cambria Math"/>
                <w:sz w:val="22"/>
                <w:szCs w:val="22"/>
              </w:rPr>
            </m:ctrlPr>
          </m:sub>
        </m:sSub>
      </m:oMath>
      <w:r>
        <w:rPr>
          <w:rFonts w:hint="eastAsia"/>
          <w:sz w:val="22"/>
          <w:szCs w:val="22"/>
        </w:rPr>
        <w:t>，空腔校正完毕后进行空腔校正数据的保存。</w:t>
      </w:r>
    </w:p>
    <w:p w14:paraId="39BEF246">
      <w:pPr>
        <w:autoSpaceDE w:val="0"/>
        <w:autoSpaceDN w:val="0"/>
        <w:adjustRightInd w:val="0"/>
        <w:spacing w:line="360" w:lineRule="auto"/>
        <w:jc w:val="left"/>
        <w:rPr>
          <w:bCs/>
          <w:sz w:val="22"/>
          <w:szCs w:val="22"/>
        </w:rPr>
      </w:pPr>
      <w:r>
        <w:rPr>
          <w:bCs/>
          <w:sz w:val="22"/>
          <w:szCs w:val="22"/>
        </w:rPr>
        <w:t>（3）</w:t>
      </w:r>
      <w:r>
        <w:rPr>
          <w:rFonts w:hint="eastAsia"/>
          <w:bCs/>
          <w:sz w:val="22"/>
          <w:szCs w:val="22"/>
        </w:rPr>
        <w:t>样品测试：</w:t>
      </w:r>
      <w:r>
        <w:rPr>
          <w:rFonts w:hint="eastAsia"/>
          <w:sz w:val="22"/>
          <w:szCs w:val="22"/>
        </w:rPr>
        <w:t>将样品置于平面镜的中心，选择样品测试菜单，读取对应的空腔校正文件，根据页面提示输入样品名称及样品厚度</w:t>
      </w:r>
      <w:r>
        <w:rPr>
          <w:rFonts w:hint="eastAsia"/>
          <w:i/>
          <w:iCs/>
          <w:sz w:val="22"/>
          <w:szCs w:val="22"/>
        </w:rPr>
        <w:t>t</w:t>
      </w:r>
      <w:r>
        <w:rPr>
          <w:rFonts w:hint="eastAsia"/>
          <w:sz w:val="22"/>
          <w:szCs w:val="22"/>
        </w:rPr>
        <w:t>，运行样品测试程序，自动测试程序在不同频段的有载谐振频率点附近处自动读取S</w:t>
      </w:r>
      <w:r>
        <w:rPr>
          <w:rFonts w:hint="eastAsia"/>
          <w:sz w:val="22"/>
          <w:szCs w:val="22"/>
          <w:vertAlign w:val="subscript"/>
        </w:rPr>
        <w:t>21</w:t>
      </w:r>
      <w:r>
        <w:rPr>
          <w:rFonts w:hint="eastAsia"/>
          <w:sz w:val="22"/>
          <w:szCs w:val="22"/>
        </w:rPr>
        <w:t>最大值处的有载谐振频率</w:t>
      </w:r>
      <m:oMath>
        <m:sSub>
          <m:sSubPr>
            <m:ctrlPr>
              <w:rPr>
                <w:rFonts w:ascii="Cambria Math" w:hAnsi="Cambria Math"/>
                <w:i/>
                <w:sz w:val="22"/>
                <w:szCs w:val="22"/>
              </w:rPr>
            </m:ctrlPr>
          </m:sSubPr>
          <m:e>
            <m:r>
              <m:rPr/>
              <w:rPr>
                <w:rFonts w:ascii="Cambria Math"/>
                <w:sz w:val="22"/>
                <w:szCs w:val="22"/>
              </w:rPr>
              <m:t>f</m:t>
            </m:r>
            <m:ctrlPr>
              <w:rPr>
                <w:rFonts w:ascii="Cambria Math" w:hAnsi="Cambria Math"/>
                <w:i/>
                <w:sz w:val="22"/>
                <w:szCs w:val="22"/>
              </w:rPr>
            </m:ctrlPr>
          </m:e>
          <m:sub>
            <m:r>
              <m:rPr/>
              <w:rPr>
                <w:rFonts w:hint="eastAsia" w:ascii="Cambria Math"/>
                <w:sz w:val="22"/>
                <w:szCs w:val="22"/>
              </w:rPr>
              <m:t>s</m:t>
            </m:r>
            <m:ctrlPr>
              <w:rPr>
                <w:rFonts w:ascii="Cambria Math" w:hAnsi="Cambria Math"/>
                <w:i/>
                <w:sz w:val="22"/>
                <w:szCs w:val="22"/>
              </w:rPr>
            </m:ctrlPr>
          </m:sub>
        </m:sSub>
      </m:oMath>
      <w:r>
        <w:rPr>
          <w:rFonts w:hint="eastAsia"/>
          <w:sz w:val="22"/>
          <w:szCs w:val="22"/>
        </w:rPr>
        <w:t>及有载品质因子</w:t>
      </w:r>
      <m:oMath>
        <m:sSub>
          <m:sSubPr>
            <m:ctrlPr>
              <w:rPr>
                <w:rFonts w:ascii="Cambria Math" w:hAnsi="Cambria Math"/>
                <w:sz w:val="22"/>
                <w:szCs w:val="22"/>
              </w:rPr>
            </m:ctrlPr>
          </m:sSubPr>
          <m:e>
            <m:r>
              <m:rPr/>
              <w:rPr>
                <w:rFonts w:ascii="Cambria Math"/>
                <w:sz w:val="22"/>
                <w:szCs w:val="22"/>
              </w:rPr>
              <m:t>Q</m:t>
            </m:r>
            <m:ctrlPr>
              <w:rPr>
                <w:rFonts w:ascii="Cambria Math" w:hAnsi="Cambria Math"/>
                <w:sz w:val="22"/>
                <w:szCs w:val="22"/>
              </w:rPr>
            </m:ctrlPr>
          </m:e>
          <m:sub>
            <m:r>
              <m:rPr/>
              <w:rPr>
                <w:rFonts w:hint="eastAsia" w:ascii="Cambria Math"/>
                <w:sz w:val="22"/>
                <w:szCs w:val="22"/>
              </w:rPr>
              <m:t>s</m:t>
            </m:r>
            <m:ctrlPr>
              <w:rPr>
                <w:rFonts w:ascii="Cambria Math" w:hAnsi="Cambria Math"/>
                <w:sz w:val="22"/>
                <w:szCs w:val="22"/>
              </w:rPr>
            </m:ctrlPr>
          </m:sub>
        </m:sSub>
      </m:oMath>
      <w:r>
        <w:rPr>
          <w:rFonts w:hint="eastAsia"/>
          <w:sz w:val="22"/>
          <w:szCs w:val="22"/>
        </w:rPr>
        <w:t>，并对测试数据进行保存。通过超越方程运算求解折射率</w:t>
      </w:r>
      <m:oMath>
        <m:r>
          <m:rPr/>
          <w:rPr>
            <w:rFonts w:ascii="Cambria Math"/>
            <w:color w:val="000000" w:themeColor="text1"/>
            <w:sz w:val="22"/>
            <w:szCs w:val="22"/>
            <w14:textFill>
              <w14:solidFill>
                <w14:schemeClr w14:val="tx1"/>
              </w14:solidFill>
            </w14:textFill>
          </w:rPr>
          <m:t>n</m:t>
        </m:r>
      </m:oMath>
      <w:r>
        <w:rPr>
          <w:rFonts w:hint="eastAsia"/>
          <w:sz w:val="22"/>
          <w:szCs w:val="22"/>
        </w:rPr>
        <w:t>，从而得到相对介电常数实部</w:t>
      </w:r>
      <m:oMath>
        <m:sSup>
          <m:sSupPr>
            <m:ctrlPr>
              <w:rPr>
                <w:rFonts w:ascii="Cambria Math" w:hAnsi="Cambria Math"/>
                <w:i/>
                <w:sz w:val="22"/>
                <w:szCs w:val="22"/>
                <w:vertAlign w:val="subscript"/>
              </w:rPr>
            </m:ctrlPr>
          </m:sSupPr>
          <m:e>
            <m:sSub>
              <m:sSubPr>
                <m:ctrlPr>
                  <w:rPr>
                    <w:rFonts w:ascii="Cambria Math" w:hAnsi="Cambria Math"/>
                    <w:i/>
                    <w:sz w:val="22"/>
                    <w:szCs w:val="22"/>
                  </w:rPr>
                </m:ctrlPr>
              </m:sSubPr>
              <m:e>
                <m:r>
                  <m:rPr>
                    <m:sty m:val="p"/>
                  </m:rPr>
                  <w:rPr>
                    <w:rFonts w:ascii="Cambria Math" w:hAnsi="Cambria Math"/>
                    <w:sz w:val="22"/>
                    <w:szCs w:val="22"/>
                  </w:rPr>
                  <m:t>ε</m:t>
                </m:r>
                <m:ctrlPr>
                  <w:rPr>
                    <w:rFonts w:ascii="Cambria Math" w:hAnsi="Cambria Math"/>
                    <w:i/>
                    <w:sz w:val="22"/>
                    <w:szCs w:val="22"/>
                  </w:rPr>
                </m:ctrlPr>
              </m:e>
              <m:sub>
                <m:r>
                  <m:rPr/>
                  <w:rPr>
                    <w:rFonts w:ascii="Cambria Math" w:hAnsi="Cambria Math"/>
                    <w:sz w:val="22"/>
                    <w:szCs w:val="22"/>
                  </w:rPr>
                  <m:t>r</m:t>
                </m:r>
                <m:ctrlPr>
                  <w:rPr>
                    <w:rFonts w:ascii="Cambria Math" w:hAnsi="Cambria Math"/>
                    <w:i/>
                    <w:sz w:val="22"/>
                    <w:szCs w:val="22"/>
                  </w:rPr>
                </m:ctrlPr>
              </m:sub>
            </m:sSub>
            <m:ctrlPr>
              <w:rPr>
                <w:rFonts w:ascii="Cambria Math" w:hAnsi="Cambria Math"/>
                <w:i/>
                <w:sz w:val="22"/>
                <w:szCs w:val="22"/>
                <w:vertAlign w:val="subscript"/>
              </w:rPr>
            </m:ctrlPr>
          </m:e>
          <m:sup>
            <m:r>
              <m:rPr/>
              <w:rPr>
                <w:rFonts w:ascii="Cambria Math" w:hAnsi="Cambria Math"/>
                <w:sz w:val="22"/>
                <w:szCs w:val="22"/>
                <w:vertAlign w:val="subscript"/>
              </w:rPr>
              <m:t>'</m:t>
            </m:r>
            <m:ctrlPr>
              <w:rPr>
                <w:rFonts w:ascii="Cambria Math" w:hAnsi="Cambria Math"/>
                <w:i/>
                <w:sz w:val="22"/>
                <w:szCs w:val="22"/>
                <w:vertAlign w:val="subscript"/>
              </w:rPr>
            </m:ctrlPr>
          </m:sup>
        </m:sSup>
      </m:oMath>
      <w:r>
        <w:rPr>
          <w:rFonts w:hint="eastAsia"/>
          <w:sz w:val="22"/>
          <w:szCs w:val="22"/>
        </w:rPr>
        <w:t>，通过加载前后品质因数变化推导求解样品的损耗角正切值</w:t>
      </w:r>
      <m:oMath>
        <m:func>
          <m:funcPr>
            <m:ctrlPr>
              <w:rPr>
                <w:rFonts w:ascii="Cambria Math" w:hAnsi="Cambria Math"/>
                <w:sz w:val="22"/>
                <w:szCs w:val="22"/>
              </w:rPr>
            </m:ctrlPr>
          </m:funcPr>
          <m:fName>
            <m:r>
              <m:rPr/>
              <w:rPr>
                <w:rFonts w:ascii="Cambria Math"/>
                <w:sz w:val="22"/>
                <w:szCs w:val="22"/>
              </w:rPr>
              <m:t>tan</m:t>
            </m:r>
            <m:ctrlPr>
              <w:rPr>
                <w:rFonts w:ascii="Cambria Math" w:hAnsi="Cambria Math"/>
                <w:sz w:val="22"/>
                <w:szCs w:val="22"/>
              </w:rPr>
            </m:ctrlPr>
          </m:fName>
          <m:e>
            <m:r>
              <m:rPr/>
              <w:rPr>
                <w:rFonts w:ascii="Cambria Math"/>
                <w:sz w:val="22"/>
                <w:szCs w:val="22"/>
              </w:rPr>
              <m:t>δ</m:t>
            </m:r>
            <m:ctrlPr>
              <w:rPr>
                <w:rFonts w:ascii="Cambria Math" w:hAnsi="Cambria Math"/>
                <w:sz w:val="22"/>
                <w:szCs w:val="22"/>
              </w:rPr>
            </m:ctrlPr>
          </m:e>
        </m:func>
      </m:oMath>
      <w:r>
        <w:rPr>
          <w:rFonts w:hint="eastAsia" w:hAnsi="Cambria Math"/>
          <w:sz w:val="22"/>
          <w:szCs w:val="22"/>
        </w:rPr>
        <w:t>。</w:t>
      </w:r>
    </w:p>
    <w:p w14:paraId="4CBC7ABC">
      <w:pPr>
        <w:autoSpaceDE w:val="0"/>
        <w:autoSpaceDN w:val="0"/>
        <w:adjustRightInd w:val="0"/>
        <w:spacing w:line="360" w:lineRule="auto"/>
        <w:ind w:left="2240" w:hanging="2240"/>
        <w:rPr>
          <w:rStyle w:val="20"/>
          <w:rFonts w:ascii="Times New Roman" w:hAnsi="Times New Roman" w:eastAsiaTheme="minorEastAsia"/>
          <w:b w:val="0"/>
          <w:sz w:val="22"/>
          <w:szCs w:val="22"/>
        </w:rPr>
      </w:pPr>
      <w:bookmarkStart w:id="8" w:name="_Toc25809"/>
      <w:r>
        <w:rPr>
          <w:rStyle w:val="20"/>
          <w:rFonts w:ascii="Times New Roman" w:hAnsi="Times New Roman" w:eastAsiaTheme="minorEastAsia"/>
          <w:b w:val="0"/>
          <w:sz w:val="22"/>
          <w:szCs w:val="22"/>
        </w:rPr>
        <w:t xml:space="preserve">6.2.3 </w:t>
      </w:r>
      <w:r>
        <w:rPr>
          <w:rStyle w:val="20"/>
          <w:rFonts w:hint="eastAsia" w:ascii="Times New Roman" w:hAnsi="Times New Roman" w:eastAsiaTheme="minorEastAsia"/>
          <w:b w:val="0"/>
          <w:sz w:val="22"/>
          <w:szCs w:val="22"/>
        </w:rPr>
        <w:t>半球式</w:t>
      </w:r>
      <w:r>
        <w:rPr>
          <w:rStyle w:val="20"/>
          <w:rFonts w:ascii="Times New Roman" w:hAnsi="Times New Roman" w:eastAsiaTheme="minorEastAsia"/>
          <w:b w:val="0"/>
          <w:sz w:val="22"/>
          <w:szCs w:val="22"/>
        </w:rPr>
        <w:t>准光腔</w:t>
      </w:r>
      <w:r>
        <w:rPr>
          <w:rStyle w:val="20"/>
          <w:rFonts w:hint="eastAsia" w:ascii="Times New Roman" w:hAnsi="Times New Roman" w:eastAsiaTheme="minorEastAsia"/>
          <w:b w:val="0"/>
          <w:sz w:val="22"/>
          <w:szCs w:val="22"/>
        </w:rPr>
        <w:t>测试</w:t>
      </w:r>
    </w:p>
    <w:bookmarkEnd w:id="8"/>
    <w:p w14:paraId="694BC499">
      <w:pPr>
        <w:autoSpaceDE w:val="0"/>
        <w:autoSpaceDN w:val="0"/>
        <w:adjustRightInd w:val="0"/>
        <w:spacing w:line="360" w:lineRule="auto"/>
        <w:jc w:val="left"/>
        <w:rPr>
          <w:bCs/>
          <w:sz w:val="22"/>
          <w:szCs w:val="22"/>
        </w:rPr>
      </w:pPr>
      <w:r>
        <w:rPr>
          <w:bCs/>
          <w:sz w:val="22"/>
          <w:szCs w:val="22"/>
        </w:rPr>
        <w:t>测试步骤如下所示：</w:t>
      </w:r>
    </w:p>
    <w:p w14:paraId="128FD3FC">
      <w:pPr>
        <w:pStyle w:val="21"/>
        <w:spacing w:line="360" w:lineRule="auto"/>
        <w:ind w:firstLine="0" w:firstLineChars="0"/>
        <w:rPr>
          <w:sz w:val="22"/>
          <w:szCs w:val="22"/>
        </w:rPr>
      </w:pPr>
      <w:bookmarkStart w:id="9" w:name="_Hlk145605102"/>
      <w:r>
        <w:rPr>
          <w:rFonts w:eastAsiaTheme="minorEastAsia"/>
          <w:bCs w:val="0"/>
          <w:sz w:val="22"/>
          <w:szCs w:val="22"/>
        </w:rPr>
        <w:t>（1）</w:t>
      </w:r>
      <w:r>
        <w:rPr>
          <w:rFonts w:hint="eastAsia" w:eastAsiaTheme="minorEastAsia"/>
          <w:bCs w:val="0"/>
          <w:sz w:val="22"/>
          <w:szCs w:val="22"/>
        </w:rPr>
        <w:t>开机：</w:t>
      </w:r>
      <w:r>
        <w:rPr>
          <w:rFonts w:hint="eastAsia"/>
          <w:sz w:val="22"/>
          <w:szCs w:val="22"/>
        </w:rPr>
        <w:t>开启网络分析仪及谐振腔的电源，预热3</w:t>
      </w:r>
      <w:r>
        <w:rPr>
          <w:sz w:val="22"/>
          <w:szCs w:val="22"/>
        </w:rPr>
        <w:t>0</w:t>
      </w:r>
      <w:r>
        <w:rPr>
          <w:rFonts w:hint="eastAsia"/>
          <w:sz w:val="22"/>
          <w:szCs w:val="22"/>
        </w:rPr>
        <w:t xml:space="preserve"> </w:t>
      </w:r>
      <w:r>
        <w:rPr>
          <w:sz w:val="22"/>
          <w:szCs w:val="22"/>
        </w:rPr>
        <w:t>min</w:t>
      </w:r>
      <w:r>
        <w:rPr>
          <w:rFonts w:hint="eastAsia"/>
          <w:sz w:val="22"/>
          <w:szCs w:val="22"/>
        </w:rPr>
        <w:t>，使系统进入稳定运行状态。</w:t>
      </w:r>
    </w:p>
    <w:p w14:paraId="1116229C">
      <w:pPr>
        <w:pStyle w:val="21"/>
        <w:spacing w:line="360" w:lineRule="auto"/>
        <w:ind w:firstLine="0" w:firstLineChars="0"/>
        <w:rPr>
          <w:sz w:val="22"/>
          <w:szCs w:val="22"/>
        </w:rPr>
      </w:pPr>
      <w:r>
        <w:rPr>
          <w:rFonts w:eastAsiaTheme="minorEastAsia"/>
          <w:bCs w:val="0"/>
          <w:sz w:val="22"/>
          <w:szCs w:val="22"/>
        </w:rPr>
        <w:t>（2）</w:t>
      </w:r>
      <w:r>
        <w:rPr>
          <w:rFonts w:hint="eastAsia" w:eastAsiaTheme="minorEastAsia"/>
          <w:bCs w:val="0"/>
          <w:sz w:val="22"/>
          <w:szCs w:val="22"/>
        </w:rPr>
        <w:t>空腔测试：</w:t>
      </w:r>
      <w:r>
        <w:rPr>
          <w:rFonts w:hint="eastAsia"/>
          <w:sz w:val="22"/>
          <w:szCs w:val="22"/>
        </w:rPr>
        <w:t>打开测试软件，选择空腔校正菜单，选择需测试频段，并在所选频段内对网络分析仪进行空腔测试，自动测试程序读取不同频率下的空腔谐振频率</w:t>
      </w:r>
      <m:oMath>
        <m:sSub>
          <m:sSubPr>
            <m:ctrlPr>
              <w:rPr>
                <w:rFonts w:ascii="Cambria Math" w:hAnsi="Cambria Math"/>
                <w:sz w:val="22"/>
                <w:szCs w:val="22"/>
              </w:rPr>
            </m:ctrlPr>
          </m:sSubPr>
          <m:e>
            <m:r>
              <m:rPr/>
              <w:rPr>
                <w:rFonts w:ascii="Cambria Math"/>
                <w:sz w:val="22"/>
                <w:szCs w:val="22"/>
              </w:rPr>
              <m:t>f</m:t>
            </m:r>
            <m:ctrlPr>
              <w:rPr>
                <w:rFonts w:ascii="Cambria Math" w:hAnsi="Cambria Math"/>
                <w:sz w:val="22"/>
                <w:szCs w:val="22"/>
              </w:rPr>
            </m:ctrlPr>
          </m:e>
          <m:sub>
            <m:r>
              <m:rPr/>
              <w:rPr>
                <w:rFonts w:ascii="Cambria Math"/>
                <w:sz w:val="22"/>
                <w:szCs w:val="22"/>
              </w:rPr>
              <m:t>0</m:t>
            </m:r>
            <m:ctrlPr>
              <w:rPr>
                <w:rFonts w:ascii="Cambria Math" w:hAnsi="Cambria Math"/>
                <w:sz w:val="22"/>
                <w:szCs w:val="22"/>
              </w:rPr>
            </m:ctrlPr>
          </m:sub>
        </m:sSub>
      </m:oMath>
      <w:r>
        <w:rPr>
          <w:rFonts w:hint="eastAsia"/>
          <w:sz w:val="22"/>
          <w:szCs w:val="22"/>
        </w:rPr>
        <w:t>及空腔品质因子</w:t>
      </w:r>
      <m:oMath>
        <m:sSub>
          <m:sSubPr>
            <m:ctrlPr>
              <w:rPr>
                <w:rFonts w:ascii="Cambria Math" w:hAnsi="Cambria Math"/>
                <w:sz w:val="22"/>
                <w:szCs w:val="22"/>
              </w:rPr>
            </m:ctrlPr>
          </m:sSubPr>
          <m:e>
            <m:r>
              <m:rPr/>
              <w:rPr>
                <w:rFonts w:ascii="Cambria Math"/>
                <w:sz w:val="22"/>
                <w:szCs w:val="22"/>
              </w:rPr>
              <m:t>Q</m:t>
            </m:r>
            <m:ctrlPr>
              <w:rPr>
                <w:rFonts w:ascii="Cambria Math" w:hAnsi="Cambria Math"/>
                <w:sz w:val="22"/>
                <w:szCs w:val="22"/>
              </w:rPr>
            </m:ctrlPr>
          </m:e>
          <m:sub>
            <m:r>
              <m:rPr/>
              <w:rPr>
                <w:rFonts w:ascii="Cambria Math"/>
                <w:sz w:val="22"/>
                <w:szCs w:val="22"/>
              </w:rPr>
              <m:t>0</m:t>
            </m:r>
            <m:ctrlPr>
              <w:rPr>
                <w:rFonts w:ascii="Cambria Math" w:hAnsi="Cambria Math"/>
                <w:sz w:val="22"/>
                <w:szCs w:val="22"/>
              </w:rPr>
            </m:ctrlPr>
          </m:sub>
        </m:sSub>
      </m:oMath>
      <w:r>
        <w:rPr>
          <w:rFonts w:hint="eastAsia"/>
          <w:sz w:val="22"/>
          <w:szCs w:val="22"/>
        </w:rPr>
        <w:t>，空腔校正完毕后进行空腔校正数据的保存。</w:t>
      </w:r>
    </w:p>
    <w:p w14:paraId="27DF5902">
      <w:pPr>
        <w:autoSpaceDE w:val="0"/>
        <w:autoSpaceDN w:val="0"/>
        <w:adjustRightInd w:val="0"/>
        <w:spacing w:line="360" w:lineRule="auto"/>
        <w:jc w:val="left"/>
        <w:rPr>
          <w:bCs/>
          <w:sz w:val="22"/>
          <w:szCs w:val="22"/>
        </w:rPr>
      </w:pPr>
      <w:r>
        <w:rPr>
          <w:bCs/>
          <w:sz w:val="22"/>
          <w:szCs w:val="22"/>
        </w:rPr>
        <w:t>（3）</w:t>
      </w:r>
      <w:r>
        <w:rPr>
          <w:rFonts w:hint="eastAsia"/>
          <w:bCs/>
          <w:sz w:val="22"/>
          <w:szCs w:val="22"/>
        </w:rPr>
        <w:t>样品测试：</w:t>
      </w:r>
      <w:r>
        <w:rPr>
          <w:rFonts w:hint="eastAsia"/>
          <w:sz w:val="22"/>
          <w:szCs w:val="22"/>
        </w:rPr>
        <w:t>将样品置于平面镜的中心，选择样品测试菜单，读取对应的空腔校正文件，根据页面提示输入样品名称及样品厚度</w:t>
      </w:r>
      <w:r>
        <w:rPr>
          <w:rFonts w:hint="eastAsia"/>
          <w:i/>
          <w:iCs/>
          <w:sz w:val="22"/>
          <w:szCs w:val="22"/>
        </w:rPr>
        <w:t>t</w:t>
      </w:r>
      <w:r>
        <w:rPr>
          <w:rFonts w:hint="eastAsia"/>
          <w:sz w:val="22"/>
          <w:szCs w:val="22"/>
        </w:rPr>
        <w:t>，运行样品测试程序，自动测试程序在不同频段的有载谐振频率点附近处自动读取S</w:t>
      </w:r>
      <w:r>
        <w:rPr>
          <w:rFonts w:hint="eastAsia"/>
          <w:sz w:val="22"/>
          <w:szCs w:val="22"/>
          <w:vertAlign w:val="subscript"/>
        </w:rPr>
        <w:t>21</w:t>
      </w:r>
      <w:r>
        <w:rPr>
          <w:rFonts w:hint="eastAsia"/>
          <w:sz w:val="22"/>
          <w:szCs w:val="22"/>
        </w:rPr>
        <w:t>最大值处的有载谐振频率</w:t>
      </w:r>
      <m:oMath>
        <m:sSub>
          <m:sSubPr>
            <m:ctrlPr>
              <w:rPr>
                <w:rFonts w:ascii="Cambria Math" w:hAnsi="Cambria Math"/>
                <w:i/>
                <w:sz w:val="22"/>
                <w:szCs w:val="22"/>
              </w:rPr>
            </m:ctrlPr>
          </m:sSubPr>
          <m:e>
            <m:r>
              <m:rPr/>
              <w:rPr>
                <w:rFonts w:ascii="Cambria Math"/>
                <w:sz w:val="22"/>
                <w:szCs w:val="22"/>
              </w:rPr>
              <m:t>f</m:t>
            </m:r>
            <m:ctrlPr>
              <w:rPr>
                <w:rFonts w:ascii="Cambria Math" w:hAnsi="Cambria Math"/>
                <w:i/>
                <w:sz w:val="22"/>
                <w:szCs w:val="22"/>
              </w:rPr>
            </m:ctrlPr>
          </m:e>
          <m:sub>
            <m:r>
              <m:rPr/>
              <w:rPr>
                <w:rFonts w:hint="eastAsia" w:ascii="Cambria Math"/>
                <w:sz w:val="22"/>
                <w:szCs w:val="22"/>
              </w:rPr>
              <m:t>s</m:t>
            </m:r>
            <m:ctrlPr>
              <w:rPr>
                <w:rFonts w:ascii="Cambria Math" w:hAnsi="Cambria Math"/>
                <w:i/>
                <w:sz w:val="22"/>
                <w:szCs w:val="22"/>
              </w:rPr>
            </m:ctrlPr>
          </m:sub>
        </m:sSub>
      </m:oMath>
      <w:r>
        <w:rPr>
          <w:rFonts w:hint="eastAsia"/>
          <w:sz w:val="22"/>
          <w:szCs w:val="22"/>
        </w:rPr>
        <w:t>及有载品质因子</w:t>
      </w:r>
      <m:oMath>
        <m:sSub>
          <m:sSubPr>
            <m:ctrlPr>
              <w:rPr>
                <w:rFonts w:ascii="Cambria Math" w:hAnsi="Cambria Math"/>
                <w:sz w:val="22"/>
                <w:szCs w:val="22"/>
              </w:rPr>
            </m:ctrlPr>
          </m:sSubPr>
          <m:e>
            <m:r>
              <m:rPr/>
              <w:rPr>
                <w:rFonts w:ascii="Cambria Math"/>
                <w:sz w:val="22"/>
                <w:szCs w:val="22"/>
              </w:rPr>
              <m:t>Q</m:t>
            </m:r>
            <m:ctrlPr>
              <w:rPr>
                <w:rFonts w:ascii="Cambria Math" w:hAnsi="Cambria Math"/>
                <w:sz w:val="22"/>
                <w:szCs w:val="22"/>
              </w:rPr>
            </m:ctrlPr>
          </m:e>
          <m:sub>
            <m:r>
              <m:rPr/>
              <w:rPr>
                <w:rFonts w:hint="eastAsia" w:ascii="Cambria Math"/>
                <w:sz w:val="22"/>
                <w:szCs w:val="22"/>
              </w:rPr>
              <m:t>s</m:t>
            </m:r>
            <m:ctrlPr>
              <w:rPr>
                <w:rFonts w:ascii="Cambria Math" w:hAnsi="Cambria Math"/>
                <w:sz w:val="22"/>
                <w:szCs w:val="22"/>
              </w:rPr>
            </m:ctrlPr>
          </m:sub>
        </m:sSub>
      </m:oMath>
      <w:r>
        <w:rPr>
          <w:rFonts w:hint="eastAsia"/>
          <w:sz w:val="22"/>
          <w:szCs w:val="22"/>
        </w:rPr>
        <w:t>，并对测试数据进行保存。通过超越方程运算求解折射率</w:t>
      </w:r>
      <m:oMath>
        <m:r>
          <m:rPr/>
          <w:rPr>
            <w:rFonts w:ascii="Cambria Math"/>
            <w:color w:val="000000" w:themeColor="text1"/>
            <w:sz w:val="22"/>
            <w:szCs w:val="22"/>
            <w14:textFill>
              <w14:solidFill>
                <w14:schemeClr w14:val="tx1"/>
              </w14:solidFill>
            </w14:textFill>
          </w:rPr>
          <m:t>n</m:t>
        </m:r>
      </m:oMath>
      <w:r>
        <w:rPr>
          <w:rFonts w:hint="eastAsia"/>
          <w:sz w:val="22"/>
          <w:szCs w:val="22"/>
        </w:rPr>
        <w:t>，从而得到相对介电常数实部</w:t>
      </w:r>
      <m:oMath>
        <m:sSup>
          <m:sSupPr>
            <m:ctrlPr>
              <w:rPr>
                <w:rFonts w:ascii="Cambria Math" w:hAnsi="Cambria Math"/>
                <w:i/>
                <w:sz w:val="22"/>
                <w:szCs w:val="22"/>
                <w:vertAlign w:val="subscript"/>
              </w:rPr>
            </m:ctrlPr>
          </m:sSupPr>
          <m:e>
            <m:sSub>
              <m:sSubPr>
                <m:ctrlPr>
                  <w:rPr>
                    <w:rFonts w:ascii="Cambria Math" w:hAnsi="Cambria Math"/>
                    <w:i/>
                    <w:sz w:val="22"/>
                    <w:szCs w:val="22"/>
                  </w:rPr>
                </m:ctrlPr>
              </m:sSubPr>
              <m:e>
                <m:r>
                  <m:rPr>
                    <m:sty m:val="p"/>
                  </m:rPr>
                  <w:rPr>
                    <w:rFonts w:ascii="Cambria Math" w:hAnsi="Cambria Math"/>
                    <w:sz w:val="22"/>
                    <w:szCs w:val="22"/>
                  </w:rPr>
                  <m:t>ε</m:t>
                </m:r>
                <m:ctrlPr>
                  <w:rPr>
                    <w:rFonts w:ascii="Cambria Math" w:hAnsi="Cambria Math"/>
                    <w:i/>
                    <w:sz w:val="22"/>
                    <w:szCs w:val="22"/>
                  </w:rPr>
                </m:ctrlPr>
              </m:e>
              <m:sub>
                <m:r>
                  <m:rPr/>
                  <w:rPr>
                    <w:rFonts w:ascii="Cambria Math" w:hAnsi="Cambria Math"/>
                    <w:sz w:val="22"/>
                    <w:szCs w:val="22"/>
                  </w:rPr>
                  <m:t>r</m:t>
                </m:r>
                <m:ctrlPr>
                  <w:rPr>
                    <w:rFonts w:ascii="Cambria Math" w:hAnsi="Cambria Math"/>
                    <w:i/>
                    <w:sz w:val="22"/>
                    <w:szCs w:val="22"/>
                  </w:rPr>
                </m:ctrlPr>
              </m:sub>
            </m:sSub>
            <m:ctrlPr>
              <w:rPr>
                <w:rFonts w:ascii="Cambria Math" w:hAnsi="Cambria Math"/>
                <w:i/>
                <w:sz w:val="22"/>
                <w:szCs w:val="22"/>
                <w:vertAlign w:val="subscript"/>
              </w:rPr>
            </m:ctrlPr>
          </m:e>
          <m:sup>
            <m:r>
              <m:rPr/>
              <w:rPr>
                <w:rFonts w:ascii="Cambria Math" w:hAnsi="Cambria Math"/>
                <w:sz w:val="22"/>
                <w:szCs w:val="22"/>
                <w:vertAlign w:val="subscript"/>
              </w:rPr>
              <m:t>'</m:t>
            </m:r>
            <m:ctrlPr>
              <w:rPr>
                <w:rFonts w:ascii="Cambria Math" w:hAnsi="Cambria Math"/>
                <w:i/>
                <w:sz w:val="22"/>
                <w:szCs w:val="22"/>
                <w:vertAlign w:val="subscript"/>
              </w:rPr>
            </m:ctrlPr>
          </m:sup>
        </m:sSup>
      </m:oMath>
      <w:r>
        <w:rPr>
          <w:rFonts w:hint="eastAsia"/>
          <w:sz w:val="22"/>
          <w:szCs w:val="22"/>
        </w:rPr>
        <w:t>，通过加载前后品质因数变化推导求解样品的损耗角正切值</w:t>
      </w:r>
      <m:oMath>
        <m:func>
          <m:funcPr>
            <m:ctrlPr>
              <w:rPr>
                <w:rFonts w:ascii="Cambria Math" w:hAnsi="Cambria Math"/>
                <w:sz w:val="22"/>
                <w:szCs w:val="22"/>
              </w:rPr>
            </m:ctrlPr>
          </m:funcPr>
          <m:fName>
            <m:r>
              <m:rPr/>
              <w:rPr>
                <w:rFonts w:ascii="Cambria Math"/>
                <w:sz w:val="22"/>
                <w:szCs w:val="22"/>
              </w:rPr>
              <m:t>tan</m:t>
            </m:r>
            <m:ctrlPr>
              <w:rPr>
                <w:rFonts w:ascii="Cambria Math" w:hAnsi="Cambria Math"/>
                <w:sz w:val="22"/>
                <w:szCs w:val="22"/>
              </w:rPr>
            </m:ctrlPr>
          </m:fName>
          <m:e>
            <m:r>
              <m:rPr/>
              <w:rPr>
                <w:rFonts w:ascii="Cambria Math"/>
                <w:sz w:val="22"/>
                <w:szCs w:val="22"/>
              </w:rPr>
              <m:t>δ</m:t>
            </m:r>
            <m:ctrlPr>
              <w:rPr>
                <w:rFonts w:ascii="Cambria Math" w:hAnsi="Cambria Math"/>
                <w:sz w:val="22"/>
                <w:szCs w:val="22"/>
              </w:rPr>
            </m:ctrlPr>
          </m:e>
        </m:func>
      </m:oMath>
      <w:r>
        <w:rPr>
          <w:rFonts w:hint="eastAsia" w:hAnsi="Cambria Math"/>
          <w:sz w:val="22"/>
          <w:szCs w:val="22"/>
        </w:rPr>
        <w:t>。</w:t>
      </w:r>
    </w:p>
    <w:bookmarkEnd w:id="9"/>
    <w:p w14:paraId="54C86CDD">
      <w:pPr>
        <w:autoSpaceDE w:val="0"/>
        <w:autoSpaceDN w:val="0"/>
        <w:adjustRightInd w:val="0"/>
        <w:spacing w:line="360" w:lineRule="auto"/>
        <w:ind w:left="2240" w:hanging="2240"/>
        <w:rPr>
          <w:rStyle w:val="20"/>
          <w:rFonts w:ascii="Times New Roman" w:hAnsi="Times New Roman" w:eastAsiaTheme="minorEastAsia"/>
          <w:b w:val="0"/>
          <w:sz w:val="22"/>
          <w:szCs w:val="22"/>
        </w:rPr>
      </w:pPr>
      <w:r>
        <w:rPr>
          <w:sz w:val="22"/>
          <w:szCs w:val="22"/>
        </w:rPr>
        <w:t xml:space="preserve">6.2.4 </w:t>
      </w:r>
      <w:r>
        <w:rPr>
          <w:rStyle w:val="20"/>
          <w:rFonts w:hint="eastAsia" w:ascii="Times New Roman" w:hAnsi="Times New Roman" w:eastAsiaTheme="minorEastAsia"/>
          <w:b w:val="0"/>
          <w:sz w:val="22"/>
          <w:szCs w:val="22"/>
        </w:rPr>
        <w:t>半共焦式</w:t>
      </w:r>
      <w:r>
        <w:rPr>
          <w:rStyle w:val="20"/>
          <w:rFonts w:ascii="Times New Roman" w:hAnsi="Times New Roman" w:eastAsiaTheme="minorEastAsia"/>
          <w:b w:val="0"/>
          <w:sz w:val="22"/>
          <w:szCs w:val="22"/>
        </w:rPr>
        <w:t>准光腔</w:t>
      </w:r>
      <w:r>
        <w:rPr>
          <w:rStyle w:val="20"/>
          <w:rFonts w:hint="eastAsia" w:ascii="Times New Roman" w:hAnsi="Times New Roman" w:eastAsiaTheme="minorEastAsia"/>
          <w:b w:val="0"/>
          <w:sz w:val="22"/>
          <w:szCs w:val="22"/>
        </w:rPr>
        <w:t>测试</w:t>
      </w:r>
    </w:p>
    <w:p w14:paraId="5A4E2D8B">
      <w:pPr>
        <w:pStyle w:val="21"/>
        <w:spacing w:line="360" w:lineRule="auto"/>
        <w:ind w:firstLine="0" w:firstLineChars="0"/>
        <w:rPr>
          <w:sz w:val="22"/>
          <w:szCs w:val="22"/>
        </w:rPr>
      </w:pPr>
      <w:r>
        <w:rPr>
          <w:rFonts w:eastAsiaTheme="minorEastAsia"/>
          <w:bCs w:val="0"/>
          <w:sz w:val="22"/>
          <w:szCs w:val="22"/>
        </w:rPr>
        <w:t>（1）</w:t>
      </w:r>
      <w:r>
        <w:rPr>
          <w:rFonts w:hint="eastAsia" w:eastAsiaTheme="minorEastAsia"/>
          <w:bCs w:val="0"/>
          <w:sz w:val="22"/>
          <w:szCs w:val="22"/>
        </w:rPr>
        <w:t>开机：</w:t>
      </w:r>
      <w:r>
        <w:rPr>
          <w:rFonts w:hint="eastAsia"/>
          <w:sz w:val="22"/>
          <w:szCs w:val="22"/>
        </w:rPr>
        <w:t>开启网络分析仪电源，预热3</w:t>
      </w:r>
      <w:r>
        <w:rPr>
          <w:sz w:val="22"/>
          <w:szCs w:val="22"/>
        </w:rPr>
        <w:t>0</w:t>
      </w:r>
      <w:r>
        <w:rPr>
          <w:rFonts w:hint="eastAsia"/>
          <w:sz w:val="22"/>
          <w:szCs w:val="22"/>
        </w:rPr>
        <w:t xml:space="preserve"> </w:t>
      </w:r>
      <w:r>
        <w:rPr>
          <w:sz w:val="22"/>
          <w:szCs w:val="22"/>
        </w:rPr>
        <w:t>min</w:t>
      </w:r>
      <w:r>
        <w:rPr>
          <w:rFonts w:hint="eastAsia"/>
          <w:sz w:val="22"/>
          <w:szCs w:val="22"/>
        </w:rPr>
        <w:t>，使系统进入稳定运行状态。</w:t>
      </w:r>
    </w:p>
    <w:p w14:paraId="196D5751">
      <w:pPr>
        <w:pStyle w:val="21"/>
        <w:spacing w:line="360" w:lineRule="auto"/>
        <w:ind w:firstLine="0" w:firstLineChars="0"/>
        <w:rPr>
          <w:sz w:val="22"/>
          <w:szCs w:val="22"/>
        </w:rPr>
      </w:pPr>
      <w:r>
        <w:rPr>
          <w:rFonts w:eastAsiaTheme="minorEastAsia"/>
          <w:bCs w:val="0"/>
          <w:sz w:val="22"/>
          <w:szCs w:val="22"/>
        </w:rPr>
        <w:t>（2）</w:t>
      </w:r>
      <w:r>
        <w:rPr>
          <w:rFonts w:hint="eastAsia" w:eastAsiaTheme="minorEastAsia"/>
          <w:bCs w:val="0"/>
          <w:sz w:val="22"/>
          <w:szCs w:val="22"/>
        </w:rPr>
        <w:t>空腔测试：</w:t>
      </w:r>
      <w:r>
        <w:rPr>
          <w:rFonts w:hint="eastAsia"/>
          <w:sz w:val="22"/>
          <w:szCs w:val="22"/>
        </w:rPr>
        <w:t>打开测试软件，选择空腔校正菜单，选择需测试频段，并在所选频段内对网络分析仪进行空腔测试，自动测试程序读取不同频率下的空腔谐振频率</w:t>
      </w:r>
      <m:oMath>
        <m:sSub>
          <m:sSubPr>
            <m:ctrlPr>
              <w:rPr>
                <w:rFonts w:ascii="Cambria Math" w:hAnsi="Cambria Math"/>
                <w:sz w:val="22"/>
                <w:szCs w:val="22"/>
              </w:rPr>
            </m:ctrlPr>
          </m:sSubPr>
          <m:e>
            <m:r>
              <m:rPr/>
              <w:rPr>
                <w:rFonts w:ascii="Cambria Math"/>
                <w:sz w:val="22"/>
                <w:szCs w:val="22"/>
              </w:rPr>
              <m:t>f</m:t>
            </m:r>
            <m:ctrlPr>
              <w:rPr>
                <w:rFonts w:ascii="Cambria Math" w:hAnsi="Cambria Math"/>
                <w:sz w:val="22"/>
                <w:szCs w:val="22"/>
              </w:rPr>
            </m:ctrlPr>
          </m:e>
          <m:sub>
            <m:r>
              <m:rPr/>
              <w:rPr>
                <w:rFonts w:ascii="Cambria Math"/>
                <w:sz w:val="22"/>
                <w:szCs w:val="22"/>
              </w:rPr>
              <m:t>0</m:t>
            </m:r>
            <m:ctrlPr>
              <w:rPr>
                <w:rFonts w:ascii="Cambria Math" w:hAnsi="Cambria Math"/>
                <w:sz w:val="22"/>
                <w:szCs w:val="22"/>
              </w:rPr>
            </m:ctrlPr>
          </m:sub>
        </m:sSub>
      </m:oMath>
      <w:r>
        <w:rPr>
          <w:rFonts w:hint="eastAsia"/>
          <w:sz w:val="22"/>
          <w:szCs w:val="22"/>
        </w:rPr>
        <w:t>及空腔品质因子</w:t>
      </w:r>
      <m:oMath>
        <m:sSub>
          <m:sSubPr>
            <m:ctrlPr>
              <w:rPr>
                <w:rFonts w:ascii="Cambria Math" w:hAnsi="Cambria Math"/>
                <w:sz w:val="22"/>
                <w:szCs w:val="22"/>
              </w:rPr>
            </m:ctrlPr>
          </m:sSubPr>
          <m:e>
            <m:r>
              <m:rPr/>
              <w:rPr>
                <w:rFonts w:ascii="Cambria Math"/>
                <w:sz w:val="22"/>
                <w:szCs w:val="22"/>
              </w:rPr>
              <m:t>Q</m:t>
            </m:r>
            <m:ctrlPr>
              <w:rPr>
                <w:rFonts w:ascii="Cambria Math" w:hAnsi="Cambria Math"/>
                <w:sz w:val="22"/>
                <w:szCs w:val="22"/>
              </w:rPr>
            </m:ctrlPr>
          </m:e>
          <m:sub>
            <m:r>
              <m:rPr/>
              <w:rPr>
                <w:rFonts w:ascii="Cambria Math"/>
                <w:sz w:val="22"/>
                <w:szCs w:val="22"/>
              </w:rPr>
              <m:t>0</m:t>
            </m:r>
            <m:ctrlPr>
              <w:rPr>
                <w:rFonts w:ascii="Cambria Math" w:hAnsi="Cambria Math"/>
                <w:sz w:val="22"/>
                <w:szCs w:val="22"/>
              </w:rPr>
            </m:ctrlPr>
          </m:sub>
        </m:sSub>
      </m:oMath>
      <w:r>
        <w:rPr>
          <w:rFonts w:hint="eastAsia"/>
          <w:sz w:val="22"/>
          <w:szCs w:val="22"/>
        </w:rPr>
        <w:t>，空腔校正完毕后进行空腔校正数据的保存。</w:t>
      </w:r>
    </w:p>
    <w:p w14:paraId="3D10C277">
      <w:pPr>
        <w:autoSpaceDE w:val="0"/>
        <w:autoSpaceDN w:val="0"/>
        <w:adjustRightInd w:val="0"/>
        <w:spacing w:line="360" w:lineRule="auto"/>
        <w:jc w:val="left"/>
        <w:rPr>
          <w:rStyle w:val="20"/>
          <w:rFonts w:ascii="Times New Roman" w:hAnsi="Times New Roman" w:eastAsiaTheme="minorEastAsia"/>
          <w:b w:val="0"/>
          <w:sz w:val="22"/>
          <w:szCs w:val="22"/>
        </w:rPr>
      </w:pPr>
      <w:r>
        <w:rPr>
          <w:rFonts w:hint="eastAsia"/>
          <w:sz w:val="22"/>
          <w:szCs w:val="22"/>
        </w:rPr>
        <w:t>（3）样品测试：将样品置于平面镜的中心，选择样品测试菜单，读取对应的空腔校正文件，根据页面提示输入样品名称及样品厚度</w:t>
      </w:r>
      <w:r>
        <w:rPr>
          <w:rFonts w:hint="eastAsia"/>
          <w:i/>
          <w:iCs/>
          <w:sz w:val="22"/>
          <w:szCs w:val="22"/>
        </w:rPr>
        <w:t>t</w:t>
      </w:r>
      <w:r>
        <w:rPr>
          <w:rFonts w:hint="eastAsia"/>
          <w:sz w:val="22"/>
          <w:szCs w:val="22"/>
        </w:rPr>
        <w:t>，运行样品测试程序，自动测试程序在不同频段的有载谐振频率点附近处自动读取S</w:t>
      </w:r>
      <w:r>
        <w:rPr>
          <w:rFonts w:hint="eastAsia"/>
          <w:sz w:val="22"/>
          <w:szCs w:val="22"/>
          <w:vertAlign w:val="subscript"/>
        </w:rPr>
        <w:t>21</w:t>
      </w:r>
      <w:r>
        <w:rPr>
          <w:rFonts w:hint="eastAsia"/>
          <w:sz w:val="22"/>
          <w:szCs w:val="22"/>
        </w:rPr>
        <w:t>最大值处的有载谐振频率</w:t>
      </w:r>
      <m:oMath>
        <m:sSub>
          <m:sSubPr>
            <m:ctrlPr>
              <w:rPr>
                <w:rFonts w:ascii="Cambria Math" w:hAnsi="Cambria Math"/>
                <w:i/>
                <w:sz w:val="22"/>
                <w:szCs w:val="22"/>
              </w:rPr>
            </m:ctrlPr>
          </m:sSubPr>
          <m:e>
            <m:r>
              <m:rPr/>
              <w:rPr>
                <w:rFonts w:ascii="Cambria Math"/>
                <w:sz w:val="22"/>
                <w:szCs w:val="22"/>
              </w:rPr>
              <m:t>f</m:t>
            </m:r>
            <m:ctrlPr>
              <w:rPr>
                <w:rFonts w:ascii="Cambria Math" w:hAnsi="Cambria Math"/>
                <w:i/>
                <w:sz w:val="22"/>
                <w:szCs w:val="22"/>
              </w:rPr>
            </m:ctrlPr>
          </m:e>
          <m:sub>
            <m:r>
              <m:rPr/>
              <w:rPr>
                <w:rFonts w:hint="eastAsia" w:ascii="Cambria Math"/>
                <w:sz w:val="22"/>
                <w:szCs w:val="22"/>
              </w:rPr>
              <m:t>s</m:t>
            </m:r>
            <m:ctrlPr>
              <w:rPr>
                <w:rFonts w:ascii="Cambria Math" w:hAnsi="Cambria Math"/>
                <w:i/>
                <w:sz w:val="22"/>
                <w:szCs w:val="22"/>
              </w:rPr>
            </m:ctrlPr>
          </m:sub>
        </m:sSub>
      </m:oMath>
      <w:r>
        <w:rPr>
          <w:rFonts w:hint="eastAsia"/>
          <w:sz w:val="22"/>
          <w:szCs w:val="22"/>
        </w:rPr>
        <w:t>及有载品质因子</w:t>
      </w:r>
      <m:oMath>
        <m:sSub>
          <m:sSubPr>
            <m:ctrlPr>
              <w:rPr>
                <w:rFonts w:ascii="Cambria Math" w:hAnsi="Cambria Math"/>
                <w:sz w:val="22"/>
                <w:szCs w:val="22"/>
              </w:rPr>
            </m:ctrlPr>
          </m:sSubPr>
          <m:e>
            <m:r>
              <m:rPr/>
              <w:rPr>
                <w:rFonts w:ascii="Cambria Math"/>
                <w:sz w:val="22"/>
                <w:szCs w:val="22"/>
              </w:rPr>
              <m:t>Q</m:t>
            </m:r>
            <m:ctrlPr>
              <w:rPr>
                <w:rFonts w:ascii="Cambria Math" w:hAnsi="Cambria Math"/>
                <w:sz w:val="22"/>
                <w:szCs w:val="22"/>
              </w:rPr>
            </m:ctrlPr>
          </m:e>
          <m:sub>
            <m:r>
              <m:rPr/>
              <w:rPr>
                <w:rFonts w:hint="eastAsia" w:ascii="Cambria Math"/>
                <w:sz w:val="22"/>
                <w:szCs w:val="22"/>
              </w:rPr>
              <m:t>s</m:t>
            </m:r>
            <m:ctrlPr>
              <w:rPr>
                <w:rFonts w:ascii="Cambria Math" w:hAnsi="Cambria Math"/>
                <w:sz w:val="22"/>
                <w:szCs w:val="22"/>
              </w:rPr>
            </m:ctrlPr>
          </m:sub>
        </m:sSub>
      </m:oMath>
      <w:r>
        <w:rPr>
          <w:rFonts w:hint="eastAsia"/>
          <w:sz w:val="22"/>
          <w:szCs w:val="22"/>
        </w:rPr>
        <w:t>，并对测试数据进行保存。通过超越方程运算求解折射率</w:t>
      </w:r>
      <m:oMath>
        <m:r>
          <m:rPr/>
          <w:rPr>
            <w:rFonts w:ascii="Cambria Math"/>
            <w:color w:val="000000" w:themeColor="text1"/>
            <w:sz w:val="22"/>
            <w:szCs w:val="22"/>
            <w14:textFill>
              <w14:solidFill>
                <w14:schemeClr w14:val="tx1"/>
              </w14:solidFill>
            </w14:textFill>
          </w:rPr>
          <m:t>n</m:t>
        </m:r>
      </m:oMath>
      <w:r>
        <w:rPr>
          <w:rFonts w:hint="eastAsia"/>
          <w:sz w:val="22"/>
          <w:szCs w:val="22"/>
        </w:rPr>
        <w:t>，从而得到相对介电常数实部</w:t>
      </w:r>
      <m:oMath>
        <m:sSup>
          <m:sSupPr>
            <m:ctrlPr>
              <w:rPr>
                <w:rFonts w:ascii="Cambria Math" w:hAnsi="Cambria Math"/>
                <w:i/>
                <w:sz w:val="22"/>
                <w:szCs w:val="22"/>
                <w:vertAlign w:val="subscript"/>
              </w:rPr>
            </m:ctrlPr>
          </m:sSupPr>
          <m:e>
            <m:sSub>
              <m:sSubPr>
                <m:ctrlPr>
                  <w:rPr>
                    <w:rFonts w:ascii="Cambria Math" w:hAnsi="Cambria Math"/>
                    <w:i/>
                    <w:sz w:val="22"/>
                    <w:szCs w:val="22"/>
                  </w:rPr>
                </m:ctrlPr>
              </m:sSubPr>
              <m:e>
                <m:r>
                  <m:rPr>
                    <m:sty m:val="p"/>
                  </m:rPr>
                  <w:rPr>
                    <w:rFonts w:ascii="Cambria Math" w:hAnsi="Cambria Math"/>
                    <w:sz w:val="22"/>
                    <w:szCs w:val="22"/>
                  </w:rPr>
                  <m:t>ε</m:t>
                </m:r>
                <m:ctrlPr>
                  <w:rPr>
                    <w:rFonts w:ascii="Cambria Math" w:hAnsi="Cambria Math"/>
                    <w:i/>
                    <w:sz w:val="22"/>
                    <w:szCs w:val="22"/>
                  </w:rPr>
                </m:ctrlPr>
              </m:e>
              <m:sub>
                <m:r>
                  <m:rPr/>
                  <w:rPr>
                    <w:rFonts w:ascii="Cambria Math" w:hAnsi="Cambria Math"/>
                    <w:sz w:val="22"/>
                    <w:szCs w:val="22"/>
                  </w:rPr>
                  <m:t>r</m:t>
                </m:r>
                <m:ctrlPr>
                  <w:rPr>
                    <w:rFonts w:ascii="Cambria Math" w:hAnsi="Cambria Math"/>
                    <w:i/>
                    <w:sz w:val="22"/>
                    <w:szCs w:val="22"/>
                  </w:rPr>
                </m:ctrlPr>
              </m:sub>
            </m:sSub>
            <m:ctrlPr>
              <w:rPr>
                <w:rFonts w:ascii="Cambria Math" w:hAnsi="Cambria Math"/>
                <w:i/>
                <w:sz w:val="22"/>
                <w:szCs w:val="22"/>
                <w:vertAlign w:val="subscript"/>
              </w:rPr>
            </m:ctrlPr>
          </m:e>
          <m:sup>
            <m:r>
              <m:rPr/>
              <w:rPr>
                <w:rFonts w:ascii="Cambria Math" w:hAnsi="Cambria Math"/>
                <w:sz w:val="22"/>
                <w:szCs w:val="22"/>
                <w:vertAlign w:val="subscript"/>
              </w:rPr>
              <m:t>'</m:t>
            </m:r>
            <m:ctrlPr>
              <w:rPr>
                <w:rFonts w:ascii="Cambria Math" w:hAnsi="Cambria Math"/>
                <w:i/>
                <w:sz w:val="22"/>
                <w:szCs w:val="22"/>
                <w:vertAlign w:val="subscript"/>
              </w:rPr>
            </m:ctrlPr>
          </m:sup>
        </m:sSup>
      </m:oMath>
      <w:r>
        <w:rPr>
          <w:rFonts w:hint="eastAsia"/>
          <w:sz w:val="22"/>
          <w:szCs w:val="22"/>
        </w:rPr>
        <w:t>，通过加载前后品质因数变化推导求解样品的损耗角正切值</w:t>
      </w:r>
      <m:oMath>
        <m:func>
          <m:funcPr>
            <m:ctrlPr>
              <w:rPr>
                <w:rFonts w:ascii="Cambria Math" w:hAnsi="Cambria Math"/>
                <w:sz w:val="22"/>
                <w:szCs w:val="22"/>
              </w:rPr>
            </m:ctrlPr>
          </m:funcPr>
          <m:fName>
            <m:r>
              <m:rPr/>
              <w:rPr>
                <w:rFonts w:ascii="Cambria Math"/>
                <w:sz w:val="22"/>
                <w:szCs w:val="22"/>
              </w:rPr>
              <m:t>tan</m:t>
            </m:r>
            <m:ctrlPr>
              <w:rPr>
                <w:rFonts w:ascii="Cambria Math" w:hAnsi="Cambria Math"/>
                <w:sz w:val="22"/>
                <w:szCs w:val="22"/>
              </w:rPr>
            </m:ctrlPr>
          </m:fName>
          <m:e>
            <m:r>
              <m:rPr/>
              <w:rPr>
                <w:rFonts w:ascii="Cambria Math"/>
                <w:sz w:val="22"/>
                <w:szCs w:val="22"/>
              </w:rPr>
              <m:t>δ</m:t>
            </m:r>
            <m:ctrlPr>
              <w:rPr>
                <w:rFonts w:ascii="Cambria Math" w:hAnsi="Cambria Math"/>
                <w:sz w:val="22"/>
                <w:szCs w:val="22"/>
              </w:rPr>
            </m:ctrlPr>
          </m:e>
        </m:func>
      </m:oMath>
      <w:r>
        <w:rPr>
          <w:rFonts w:hint="eastAsia" w:hAnsi="Cambria Math"/>
          <w:sz w:val="22"/>
          <w:szCs w:val="22"/>
        </w:rPr>
        <w:t>。</w:t>
      </w:r>
    </w:p>
    <w:p w14:paraId="0634EC09">
      <w:pPr>
        <w:spacing w:line="360" w:lineRule="auto"/>
        <w:rPr>
          <w:sz w:val="22"/>
          <w:szCs w:val="22"/>
        </w:rPr>
      </w:pPr>
      <w:r>
        <w:rPr>
          <w:rFonts w:hint="eastAsia"/>
          <w:sz w:val="22"/>
          <w:szCs w:val="22"/>
        </w:rPr>
        <w:t>6</w:t>
      </w:r>
      <w:r>
        <w:rPr>
          <w:sz w:val="22"/>
          <w:szCs w:val="22"/>
        </w:rPr>
        <w:t xml:space="preserve">.3 </w:t>
      </w:r>
      <w:r>
        <w:rPr>
          <w:rFonts w:hint="eastAsia"/>
          <w:sz w:val="22"/>
          <w:szCs w:val="22"/>
        </w:rPr>
        <w:t>测试结果</w:t>
      </w:r>
    </w:p>
    <w:p w14:paraId="74BEC02D">
      <w:pPr>
        <w:spacing w:line="360" w:lineRule="auto"/>
        <w:rPr>
          <w:sz w:val="22"/>
          <w:szCs w:val="22"/>
        </w:rPr>
      </w:pPr>
      <w:r>
        <w:rPr>
          <w:rFonts w:hint="eastAsia"/>
          <w:sz w:val="22"/>
          <w:szCs w:val="22"/>
        </w:rPr>
        <w:t>6</w:t>
      </w:r>
      <w:r>
        <w:rPr>
          <w:sz w:val="22"/>
          <w:szCs w:val="22"/>
        </w:rPr>
        <w:t xml:space="preserve">.3.1 </w:t>
      </w:r>
      <w:r>
        <w:rPr>
          <w:rFonts w:hint="eastAsia"/>
          <w:sz w:val="22"/>
          <w:szCs w:val="22"/>
        </w:rPr>
        <w:t>半球式准光腔测试数据统计</w:t>
      </w:r>
    </w:p>
    <w:tbl>
      <w:tblPr>
        <w:tblStyle w:val="10"/>
        <w:tblW w:w="0" w:type="auto"/>
        <w:tblInd w:w="-1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56"/>
        <w:gridCol w:w="1532"/>
        <w:gridCol w:w="1449"/>
        <w:gridCol w:w="1559"/>
        <w:gridCol w:w="1418"/>
        <w:gridCol w:w="1184"/>
      </w:tblGrid>
      <w:tr w14:paraId="0AD0C7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 w:hRule="atLeast"/>
        </w:trPr>
        <w:tc>
          <w:tcPr>
            <w:tcW w:w="1556" w:type="dxa"/>
            <w:vAlign w:val="center"/>
          </w:tcPr>
          <w:p w14:paraId="375C5D01">
            <w:pPr>
              <w:jc w:val="center"/>
            </w:pPr>
            <w:bookmarkStart w:id="10" w:name="_Hlk145767689"/>
            <w:r>
              <w:rPr>
                <w:rFonts w:hint="eastAsia"/>
              </w:rPr>
              <w:t>测试样品</w:t>
            </w:r>
          </w:p>
        </w:tc>
        <w:tc>
          <w:tcPr>
            <w:tcW w:w="1532" w:type="dxa"/>
            <w:vAlign w:val="center"/>
          </w:tcPr>
          <w:p w14:paraId="3C30D76E">
            <w:pPr>
              <w:jc w:val="center"/>
            </w:pPr>
            <w:r>
              <w:rPr>
                <w:rFonts w:hint="eastAsia"/>
              </w:rPr>
              <w:t>测试频率</w:t>
            </w:r>
          </w:p>
        </w:tc>
        <w:tc>
          <w:tcPr>
            <w:tcW w:w="1449" w:type="dxa"/>
            <w:vAlign w:val="center"/>
          </w:tcPr>
          <w:p w14:paraId="5974DE61">
            <w:pPr>
              <w:jc w:val="center"/>
            </w:pPr>
            <m:oMathPara>
              <m:oMath>
                <m:sSup>
                  <m:sSupPr>
                    <m:ctrlPr>
                      <w:rPr>
                        <w:rFonts w:ascii="Cambria Math" w:hAnsi="Cambria Math"/>
                        <w:i/>
                        <w:sz w:val="22"/>
                        <w:szCs w:val="22"/>
                        <w:vertAlign w:val="subscript"/>
                      </w:rPr>
                    </m:ctrlPr>
                  </m:sSupPr>
                  <m:e>
                    <m:sSub>
                      <m:sSubPr>
                        <m:ctrlPr>
                          <w:rPr>
                            <w:rFonts w:ascii="Cambria Math" w:hAnsi="Cambria Math"/>
                            <w:i/>
                            <w:sz w:val="22"/>
                            <w:szCs w:val="22"/>
                          </w:rPr>
                        </m:ctrlPr>
                      </m:sSubPr>
                      <m:e>
                        <m:r>
                          <m:rPr>
                            <m:sty m:val="p"/>
                          </m:rPr>
                          <w:rPr>
                            <w:rFonts w:ascii="Cambria Math" w:hAnsi="Cambria Math"/>
                            <w:sz w:val="22"/>
                            <w:szCs w:val="22"/>
                          </w:rPr>
                          <m:t>ε</m:t>
                        </m:r>
                        <m:ctrlPr>
                          <w:rPr>
                            <w:rFonts w:ascii="Cambria Math" w:hAnsi="Cambria Math"/>
                            <w:i/>
                            <w:sz w:val="22"/>
                            <w:szCs w:val="22"/>
                          </w:rPr>
                        </m:ctrlPr>
                      </m:e>
                      <m:sub>
                        <m:r>
                          <m:rPr/>
                          <w:rPr>
                            <w:rFonts w:ascii="Cambria Math" w:hAnsi="Cambria Math"/>
                            <w:sz w:val="22"/>
                            <w:szCs w:val="22"/>
                          </w:rPr>
                          <m:t>r</m:t>
                        </m:r>
                        <m:ctrlPr>
                          <w:rPr>
                            <w:rFonts w:ascii="Cambria Math" w:hAnsi="Cambria Math"/>
                            <w:i/>
                            <w:sz w:val="22"/>
                            <w:szCs w:val="22"/>
                          </w:rPr>
                        </m:ctrlPr>
                      </m:sub>
                    </m:sSub>
                    <m:ctrlPr>
                      <w:rPr>
                        <w:rFonts w:ascii="Cambria Math" w:hAnsi="Cambria Math"/>
                        <w:i/>
                        <w:sz w:val="22"/>
                        <w:szCs w:val="22"/>
                        <w:vertAlign w:val="subscript"/>
                      </w:rPr>
                    </m:ctrlPr>
                  </m:e>
                  <m:sup>
                    <m:r>
                      <m:rPr/>
                      <w:rPr>
                        <w:rFonts w:ascii="Cambria Math" w:hAnsi="Cambria Math"/>
                        <w:sz w:val="22"/>
                        <w:szCs w:val="22"/>
                        <w:vertAlign w:val="subscript"/>
                      </w:rPr>
                      <m:t>'</m:t>
                    </m:r>
                    <m:ctrlPr>
                      <w:rPr>
                        <w:rFonts w:ascii="Cambria Math" w:hAnsi="Cambria Math"/>
                        <w:i/>
                        <w:sz w:val="22"/>
                        <w:szCs w:val="22"/>
                        <w:vertAlign w:val="subscript"/>
                      </w:rPr>
                    </m:ctrlPr>
                  </m:sup>
                </m:sSup>
              </m:oMath>
            </m:oMathPara>
          </w:p>
        </w:tc>
        <w:tc>
          <w:tcPr>
            <w:tcW w:w="1559" w:type="dxa"/>
            <w:vAlign w:val="center"/>
          </w:tcPr>
          <w:p w14:paraId="0C9D1415">
            <w:pPr>
              <w:jc w:val="center"/>
            </w:pPr>
            <m:oMathPara>
              <m:oMath>
                <m:func>
                  <m:funcPr>
                    <m:ctrlPr>
                      <w:rPr>
                        <w:rFonts w:ascii="Cambria Math" w:hAnsi="Cambria Math"/>
                        <w:sz w:val="22"/>
                        <w:szCs w:val="22"/>
                      </w:rPr>
                    </m:ctrlPr>
                  </m:funcPr>
                  <m:fName>
                    <m:r>
                      <m:rPr/>
                      <w:rPr>
                        <w:rFonts w:ascii="Cambria Math"/>
                        <w:sz w:val="22"/>
                        <w:szCs w:val="22"/>
                      </w:rPr>
                      <m:t>tan</m:t>
                    </m:r>
                    <m:ctrlPr>
                      <w:rPr>
                        <w:rFonts w:ascii="Cambria Math" w:hAnsi="Cambria Math"/>
                        <w:sz w:val="22"/>
                        <w:szCs w:val="22"/>
                      </w:rPr>
                    </m:ctrlPr>
                  </m:fName>
                  <m:e>
                    <m:r>
                      <m:rPr/>
                      <w:rPr>
                        <w:rFonts w:ascii="Cambria Math"/>
                        <w:sz w:val="22"/>
                        <w:szCs w:val="22"/>
                      </w:rPr>
                      <m:t>δ</m:t>
                    </m:r>
                    <m:ctrlPr>
                      <w:rPr>
                        <w:rFonts w:ascii="Cambria Math" w:hAnsi="Cambria Math"/>
                        <w:sz w:val="22"/>
                        <w:szCs w:val="22"/>
                      </w:rPr>
                    </m:ctrlPr>
                  </m:e>
                </m:func>
              </m:oMath>
            </m:oMathPara>
          </w:p>
        </w:tc>
        <w:tc>
          <w:tcPr>
            <w:tcW w:w="1418" w:type="dxa"/>
            <w:vAlign w:val="center"/>
          </w:tcPr>
          <w:p w14:paraId="6C39DE95">
            <w:pPr>
              <w:jc w:val="center"/>
              <w:rPr>
                <w:rFonts w:ascii="Calibri" w:hAnsi="Calibri" w:eastAsia="宋体" w:cs="Times New Roman"/>
                <w:sz w:val="22"/>
                <w:szCs w:val="22"/>
              </w:rPr>
            </w:pPr>
            <m:oMath>
              <m:sSup>
                <m:sSupPr>
                  <m:ctrlPr>
                    <w:rPr>
                      <w:rFonts w:ascii="Cambria Math" w:hAnsi="Cambria Math"/>
                      <w:i/>
                      <w:sz w:val="22"/>
                      <w:szCs w:val="22"/>
                      <w:vertAlign w:val="subscript"/>
                    </w:rPr>
                  </m:ctrlPr>
                </m:sSupPr>
                <m:e>
                  <m:sSub>
                    <m:sSubPr>
                      <m:ctrlPr>
                        <w:rPr>
                          <w:rFonts w:ascii="Cambria Math" w:hAnsi="Cambria Math"/>
                          <w:i/>
                          <w:sz w:val="22"/>
                          <w:szCs w:val="22"/>
                        </w:rPr>
                      </m:ctrlPr>
                    </m:sSubPr>
                    <m:e>
                      <m:r>
                        <m:rPr>
                          <m:sty m:val="p"/>
                        </m:rPr>
                        <w:rPr>
                          <w:rFonts w:ascii="Cambria Math" w:hAnsi="Cambria Math"/>
                          <w:sz w:val="22"/>
                          <w:szCs w:val="22"/>
                        </w:rPr>
                        <m:t>ε</m:t>
                      </m:r>
                      <m:ctrlPr>
                        <w:rPr>
                          <w:rFonts w:ascii="Cambria Math" w:hAnsi="Cambria Math"/>
                          <w:i/>
                          <w:sz w:val="22"/>
                          <w:szCs w:val="22"/>
                        </w:rPr>
                      </m:ctrlPr>
                    </m:e>
                    <m:sub>
                      <m:r>
                        <m:rPr/>
                        <w:rPr>
                          <w:rFonts w:ascii="Cambria Math" w:hAnsi="Cambria Math"/>
                          <w:sz w:val="22"/>
                          <w:szCs w:val="22"/>
                        </w:rPr>
                        <m:t>r</m:t>
                      </m:r>
                      <m:ctrlPr>
                        <w:rPr>
                          <w:rFonts w:ascii="Cambria Math" w:hAnsi="Cambria Math"/>
                          <w:i/>
                          <w:sz w:val="22"/>
                          <w:szCs w:val="22"/>
                        </w:rPr>
                      </m:ctrlPr>
                    </m:sub>
                  </m:sSub>
                  <m:ctrlPr>
                    <w:rPr>
                      <w:rFonts w:ascii="Cambria Math" w:hAnsi="Cambria Math"/>
                      <w:i/>
                      <w:sz w:val="22"/>
                      <w:szCs w:val="22"/>
                      <w:vertAlign w:val="subscript"/>
                    </w:rPr>
                  </m:ctrlPr>
                </m:e>
                <m:sup>
                  <m:r>
                    <m:rPr/>
                    <w:rPr>
                      <w:rFonts w:ascii="Cambria Math" w:hAnsi="Cambria Math"/>
                      <w:sz w:val="22"/>
                      <w:szCs w:val="22"/>
                      <w:vertAlign w:val="subscript"/>
                    </w:rPr>
                    <m:t>'</m:t>
                  </m:r>
                  <m:ctrlPr>
                    <w:rPr>
                      <w:rFonts w:ascii="Cambria Math" w:hAnsi="Cambria Math"/>
                      <w:i/>
                      <w:sz w:val="22"/>
                      <w:szCs w:val="22"/>
                      <w:vertAlign w:val="subscript"/>
                    </w:rPr>
                  </m:ctrlPr>
                </m:sup>
              </m:sSup>
            </m:oMath>
            <w:r>
              <w:rPr>
                <w:rFonts w:hint="eastAsia" w:ascii="Calibri" w:hAnsi="Calibri" w:eastAsia="宋体" w:cs="Times New Roman"/>
                <w:sz w:val="22"/>
                <w:szCs w:val="22"/>
              </w:rPr>
              <w:t>相对偏差</w:t>
            </w:r>
          </w:p>
        </w:tc>
        <w:tc>
          <w:tcPr>
            <w:tcW w:w="1184" w:type="dxa"/>
            <w:vAlign w:val="center"/>
          </w:tcPr>
          <w:p w14:paraId="134CFAC2">
            <w:pPr>
              <w:jc w:val="center"/>
              <w:rPr>
                <w:rFonts w:ascii="Calibri" w:hAnsi="Calibri" w:eastAsia="宋体" w:cs="Times New Roman"/>
                <w:sz w:val="22"/>
                <w:szCs w:val="22"/>
              </w:rPr>
            </w:pPr>
            <m:oMath>
              <m:func>
                <m:funcPr>
                  <m:ctrlPr>
                    <w:rPr>
                      <w:rFonts w:ascii="Cambria Math" w:hAnsi="Cambria Math"/>
                      <w:sz w:val="22"/>
                      <w:szCs w:val="22"/>
                    </w:rPr>
                  </m:ctrlPr>
                </m:funcPr>
                <m:fName>
                  <m:r>
                    <m:rPr/>
                    <w:rPr>
                      <w:rFonts w:ascii="Cambria Math"/>
                      <w:sz w:val="22"/>
                      <w:szCs w:val="22"/>
                    </w:rPr>
                    <m:t>tan</m:t>
                  </m:r>
                  <m:ctrlPr>
                    <w:rPr>
                      <w:rFonts w:ascii="Cambria Math" w:hAnsi="Cambria Math"/>
                      <w:sz w:val="22"/>
                      <w:szCs w:val="22"/>
                    </w:rPr>
                  </m:ctrlPr>
                </m:fName>
                <m:e>
                  <m:r>
                    <m:rPr/>
                    <w:rPr>
                      <w:rFonts w:ascii="Cambria Math"/>
                      <w:sz w:val="22"/>
                      <w:szCs w:val="22"/>
                    </w:rPr>
                    <m:t>δ</m:t>
                  </m:r>
                  <m:ctrlPr>
                    <w:rPr>
                      <w:rFonts w:ascii="Cambria Math" w:hAnsi="Cambria Math"/>
                      <w:sz w:val="22"/>
                      <w:szCs w:val="22"/>
                    </w:rPr>
                  </m:ctrlPr>
                </m:e>
              </m:func>
            </m:oMath>
            <w:r>
              <w:rPr>
                <w:rFonts w:hint="eastAsia" w:ascii="Calibri" w:hAnsi="Calibri" w:eastAsia="宋体" w:cs="Times New Roman"/>
                <w:sz w:val="22"/>
                <w:szCs w:val="22"/>
              </w:rPr>
              <w:t>极差</w:t>
            </w:r>
          </w:p>
        </w:tc>
      </w:tr>
      <w:tr w14:paraId="6A7884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6" w:hRule="atLeast"/>
        </w:trPr>
        <w:tc>
          <w:tcPr>
            <w:tcW w:w="1556" w:type="dxa"/>
            <w:vAlign w:val="center"/>
          </w:tcPr>
          <w:p w14:paraId="01D0AEAD">
            <w:pPr>
              <w:jc w:val="center"/>
            </w:pPr>
            <w:r>
              <w:rPr>
                <w:rFonts w:hint="eastAsia"/>
              </w:rPr>
              <w:t>单晶石英-台湾工研院</w:t>
            </w:r>
          </w:p>
        </w:tc>
        <w:tc>
          <w:tcPr>
            <w:tcW w:w="1532" w:type="dxa"/>
            <w:vAlign w:val="center"/>
          </w:tcPr>
          <w:p w14:paraId="34D13A2A">
            <w:pPr>
              <w:jc w:val="center"/>
            </w:pPr>
            <w:r>
              <w:rPr>
                <w:rFonts w:hint="eastAsia"/>
              </w:rPr>
              <w:t>2</w:t>
            </w:r>
            <w:r>
              <w:t>2GHz</w:t>
            </w:r>
          </w:p>
        </w:tc>
        <w:tc>
          <w:tcPr>
            <w:tcW w:w="1449" w:type="dxa"/>
            <w:vAlign w:val="center"/>
          </w:tcPr>
          <w:p w14:paraId="33C80CC0">
            <w:pPr>
              <w:jc w:val="center"/>
            </w:pPr>
            <w:r>
              <w:rPr>
                <w:rFonts w:hint="eastAsia"/>
              </w:rPr>
              <w:t>3</w:t>
            </w:r>
            <w:r>
              <w:t>.87</w:t>
            </w:r>
          </w:p>
        </w:tc>
        <w:tc>
          <w:tcPr>
            <w:tcW w:w="1559" w:type="dxa"/>
            <w:vAlign w:val="center"/>
          </w:tcPr>
          <w:p w14:paraId="772A55CB">
            <w:pPr>
              <w:jc w:val="center"/>
            </w:pPr>
            <w:r>
              <w:t>3.45E-04</w:t>
            </w:r>
          </w:p>
        </w:tc>
        <w:tc>
          <w:tcPr>
            <w:tcW w:w="1418" w:type="dxa"/>
            <w:vMerge w:val="restart"/>
            <w:vAlign w:val="center"/>
          </w:tcPr>
          <w:p w14:paraId="47C6922D">
            <w:pPr>
              <w:widowControl/>
              <w:jc w:val="center"/>
              <w:rPr>
                <w:rFonts w:ascii="Calibri" w:hAnsi="Calibri"/>
                <w:kern w:val="0"/>
                <w:szCs w:val="21"/>
              </w:rPr>
            </w:pPr>
            <w:r>
              <w:rPr>
                <w:rFonts w:ascii="Calibri" w:hAnsi="Calibri"/>
                <w:szCs w:val="21"/>
              </w:rPr>
              <w:t>-2.33%</w:t>
            </w:r>
          </w:p>
        </w:tc>
        <w:tc>
          <w:tcPr>
            <w:tcW w:w="1184" w:type="dxa"/>
            <w:vMerge w:val="restart"/>
            <w:vAlign w:val="center"/>
          </w:tcPr>
          <w:p w14:paraId="1C6D0444">
            <w:pPr>
              <w:jc w:val="center"/>
              <w:rPr>
                <w:rFonts w:ascii="Calibri" w:hAnsi="Calibri"/>
                <w:szCs w:val="21"/>
              </w:rPr>
            </w:pPr>
            <w:r>
              <w:rPr>
                <w:rFonts w:ascii="Calibri" w:hAnsi="Calibri"/>
                <w:szCs w:val="21"/>
              </w:rPr>
              <w:t>1.24E-04</w:t>
            </w:r>
          </w:p>
        </w:tc>
      </w:tr>
      <w:tr w14:paraId="209B8E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6" w:hRule="atLeast"/>
        </w:trPr>
        <w:tc>
          <w:tcPr>
            <w:tcW w:w="1556" w:type="dxa"/>
            <w:vAlign w:val="center"/>
          </w:tcPr>
          <w:p w14:paraId="0F29660A">
            <w:pPr>
              <w:jc w:val="center"/>
            </w:pPr>
            <w:r>
              <w:rPr>
                <w:rFonts w:hint="eastAsia"/>
              </w:rPr>
              <w:t>单晶石英-国瓷</w:t>
            </w:r>
          </w:p>
        </w:tc>
        <w:tc>
          <w:tcPr>
            <w:tcW w:w="1532" w:type="dxa"/>
            <w:vAlign w:val="center"/>
          </w:tcPr>
          <w:p w14:paraId="274609A7">
            <w:pPr>
              <w:jc w:val="center"/>
            </w:pPr>
            <w:r>
              <w:rPr>
                <w:rFonts w:hint="eastAsia"/>
              </w:rPr>
              <w:t>2</w:t>
            </w:r>
            <w:r>
              <w:t>2 GHz</w:t>
            </w:r>
          </w:p>
        </w:tc>
        <w:tc>
          <w:tcPr>
            <w:tcW w:w="1449" w:type="dxa"/>
            <w:vAlign w:val="center"/>
          </w:tcPr>
          <w:p w14:paraId="543D5F6E">
            <w:pPr>
              <w:jc w:val="center"/>
            </w:pPr>
            <w:r>
              <w:rPr>
                <w:rFonts w:hint="eastAsia"/>
              </w:rPr>
              <w:t>3</w:t>
            </w:r>
            <w:r>
              <w:t>.78</w:t>
            </w:r>
          </w:p>
        </w:tc>
        <w:tc>
          <w:tcPr>
            <w:tcW w:w="1559" w:type="dxa"/>
            <w:vAlign w:val="center"/>
          </w:tcPr>
          <w:p w14:paraId="40127E3E">
            <w:pPr>
              <w:jc w:val="center"/>
            </w:pPr>
            <w:r>
              <w:t>4.69E-04</w:t>
            </w:r>
          </w:p>
        </w:tc>
        <w:tc>
          <w:tcPr>
            <w:tcW w:w="1418" w:type="dxa"/>
            <w:vMerge w:val="continue"/>
            <w:vAlign w:val="center"/>
          </w:tcPr>
          <w:p w14:paraId="184883A4">
            <w:pPr>
              <w:jc w:val="center"/>
            </w:pPr>
          </w:p>
        </w:tc>
        <w:tc>
          <w:tcPr>
            <w:tcW w:w="1184" w:type="dxa"/>
            <w:vMerge w:val="continue"/>
            <w:vAlign w:val="center"/>
          </w:tcPr>
          <w:p w14:paraId="1B9C594D">
            <w:pPr>
              <w:jc w:val="center"/>
            </w:pPr>
          </w:p>
        </w:tc>
      </w:tr>
      <w:tr w14:paraId="45A481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2" w:hRule="atLeast"/>
        </w:trPr>
        <w:tc>
          <w:tcPr>
            <w:tcW w:w="1556" w:type="dxa"/>
            <w:vAlign w:val="center"/>
          </w:tcPr>
          <w:p w14:paraId="340C3E9E">
            <w:pPr>
              <w:jc w:val="center"/>
            </w:pPr>
            <w:r>
              <w:rPr>
                <w:rFonts w:hint="eastAsia"/>
              </w:rPr>
              <w:t>蓝宝石- 台湾工研院</w:t>
            </w:r>
          </w:p>
        </w:tc>
        <w:tc>
          <w:tcPr>
            <w:tcW w:w="1532" w:type="dxa"/>
            <w:vAlign w:val="center"/>
          </w:tcPr>
          <w:p w14:paraId="0001511B">
            <w:pPr>
              <w:jc w:val="center"/>
            </w:pPr>
            <w:r>
              <w:rPr>
                <w:rFonts w:hint="eastAsia"/>
              </w:rPr>
              <w:t>2</w:t>
            </w:r>
            <w:r>
              <w:t>8 GHz</w:t>
            </w:r>
          </w:p>
        </w:tc>
        <w:tc>
          <w:tcPr>
            <w:tcW w:w="1449" w:type="dxa"/>
            <w:vAlign w:val="center"/>
          </w:tcPr>
          <w:p w14:paraId="29F81836">
            <w:pPr>
              <w:jc w:val="center"/>
            </w:pPr>
            <w:r>
              <w:rPr>
                <w:rFonts w:hint="eastAsia"/>
              </w:rPr>
              <w:t>9.71</w:t>
            </w:r>
          </w:p>
        </w:tc>
        <w:tc>
          <w:tcPr>
            <w:tcW w:w="1559" w:type="dxa"/>
            <w:vAlign w:val="center"/>
          </w:tcPr>
          <w:p w14:paraId="2B003350">
            <w:pPr>
              <w:jc w:val="center"/>
            </w:pPr>
            <w:r>
              <w:rPr>
                <w:rFonts w:hint="eastAsia"/>
              </w:rPr>
              <w:t>1.41E-04</w:t>
            </w:r>
          </w:p>
        </w:tc>
        <w:tc>
          <w:tcPr>
            <w:tcW w:w="1418" w:type="dxa"/>
            <w:vAlign w:val="center"/>
          </w:tcPr>
          <w:p w14:paraId="72C6B76A">
            <w:pPr>
              <w:jc w:val="center"/>
              <w:rPr>
                <w:rFonts w:ascii="Calibri" w:hAnsi="Calibri"/>
                <w:szCs w:val="21"/>
              </w:rPr>
            </w:pPr>
            <w:r>
              <w:rPr>
                <w:rFonts w:ascii="Calibri" w:hAnsi="Calibri"/>
                <w:szCs w:val="21"/>
              </w:rPr>
              <w:t>0.41%</w:t>
            </w:r>
          </w:p>
        </w:tc>
        <w:tc>
          <w:tcPr>
            <w:tcW w:w="1184" w:type="dxa"/>
            <w:vAlign w:val="center"/>
          </w:tcPr>
          <w:p w14:paraId="66EAA8B1">
            <w:pPr>
              <w:jc w:val="center"/>
              <w:rPr>
                <w:rFonts w:ascii="Calibri" w:hAnsi="Calibri"/>
                <w:szCs w:val="21"/>
              </w:rPr>
            </w:pPr>
            <w:r>
              <w:rPr>
                <w:rFonts w:ascii="Calibri" w:hAnsi="Calibri"/>
                <w:szCs w:val="21"/>
              </w:rPr>
              <w:t>-3.60E-05</w:t>
            </w:r>
          </w:p>
        </w:tc>
      </w:tr>
      <w:tr w14:paraId="42F225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2" w:hRule="atLeast"/>
        </w:trPr>
        <w:tc>
          <w:tcPr>
            <w:tcW w:w="1556" w:type="dxa"/>
            <w:vAlign w:val="center"/>
          </w:tcPr>
          <w:p w14:paraId="27E60A97">
            <w:pPr>
              <w:jc w:val="center"/>
            </w:pPr>
            <w:r>
              <w:rPr>
                <w:rFonts w:hint="eastAsia"/>
              </w:rPr>
              <w:t>蓝宝石-国瓷</w:t>
            </w:r>
          </w:p>
        </w:tc>
        <w:tc>
          <w:tcPr>
            <w:tcW w:w="1532" w:type="dxa"/>
            <w:vAlign w:val="center"/>
          </w:tcPr>
          <w:p w14:paraId="41E1C970">
            <w:pPr>
              <w:jc w:val="center"/>
            </w:pPr>
            <w:r>
              <w:rPr>
                <w:rFonts w:hint="eastAsia"/>
              </w:rPr>
              <w:t>2</w:t>
            </w:r>
            <w:r>
              <w:t>8 GHz</w:t>
            </w:r>
          </w:p>
        </w:tc>
        <w:tc>
          <w:tcPr>
            <w:tcW w:w="1449" w:type="dxa"/>
            <w:vAlign w:val="center"/>
          </w:tcPr>
          <w:p w14:paraId="2495D8ED">
            <w:pPr>
              <w:jc w:val="center"/>
            </w:pPr>
            <w:r>
              <w:rPr>
                <w:rFonts w:hint="eastAsia"/>
              </w:rPr>
              <w:t>9.75</w:t>
            </w:r>
          </w:p>
        </w:tc>
        <w:tc>
          <w:tcPr>
            <w:tcW w:w="1559" w:type="dxa"/>
            <w:vAlign w:val="center"/>
          </w:tcPr>
          <w:p w14:paraId="1031599D">
            <w:pPr>
              <w:jc w:val="center"/>
            </w:pPr>
            <w:r>
              <w:rPr>
                <w:rFonts w:hint="eastAsia"/>
              </w:rPr>
              <w:t>1.05E-04</w:t>
            </w:r>
          </w:p>
        </w:tc>
        <w:tc>
          <w:tcPr>
            <w:tcW w:w="1418" w:type="dxa"/>
            <w:vAlign w:val="center"/>
          </w:tcPr>
          <w:p w14:paraId="40EBF213">
            <w:pPr>
              <w:rPr>
                <w:rFonts w:ascii="Calibri" w:hAnsi="Calibri" w:eastAsia="宋体" w:cs="宋体"/>
                <w:szCs w:val="21"/>
              </w:rPr>
            </w:pPr>
          </w:p>
        </w:tc>
        <w:tc>
          <w:tcPr>
            <w:tcW w:w="1184" w:type="dxa"/>
            <w:vAlign w:val="center"/>
          </w:tcPr>
          <w:p w14:paraId="6BF651AB">
            <w:pPr>
              <w:rPr>
                <w:rFonts w:ascii="Calibri" w:hAnsi="Calibri" w:eastAsia="宋体" w:cs="宋体"/>
                <w:szCs w:val="21"/>
              </w:rPr>
            </w:pPr>
          </w:p>
        </w:tc>
      </w:tr>
      <w:tr w14:paraId="3FB12F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6" w:hRule="atLeast"/>
        </w:trPr>
        <w:tc>
          <w:tcPr>
            <w:tcW w:w="1556" w:type="dxa"/>
            <w:vAlign w:val="center"/>
          </w:tcPr>
          <w:p w14:paraId="7BB34CB3">
            <w:pPr>
              <w:jc w:val="center"/>
            </w:pPr>
            <w:r>
              <w:rPr>
                <w:rFonts w:hint="eastAsia"/>
              </w:rPr>
              <w:t>R1</w:t>
            </w:r>
            <w:r>
              <w:t>-</w:t>
            </w:r>
            <w:r>
              <w:rPr>
                <w:rFonts w:hint="eastAsia"/>
              </w:rPr>
              <w:t>台湾工研院</w:t>
            </w:r>
          </w:p>
        </w:tc>
        <w:tc>
          <w:tcPr>
            <w:tcW w:w="1532" w:type="dxa"/>
            <w:vAlign w:val="center"/>
          </w:tcPr>
          <w:p w14:paraId="286FE955">
            <w:pPr>
              <w:jc w:val="center"/>
            </w:pPr>
            <w:r>
              <w:rPr>
                <w:rFonts w:hint="eastAsia"/>
              </w:rPr>
              <w:t>2</w:t>
            </w:r>
            <w:r>
              <w:t>8 GHz</w:t>
            </w:r>
          </w:p>
        </w:tc>
        <w:tc>
          <w:tcPr>
            <w:tcW w:w="1449" w:type="dxa"/>
            <w:vAlign w:val="center"/>
          </w:tcPr>
          <w:p w14:paraId="4C7591D5">
            <w:pPr>
              <w:jc w:val="center"/>
            </w:pPr>
            <w:r>
              <w:rPr>
                <w:rFonts w:hint="eastAsia"/>
              </w:rPr>
              <w:t>1</w:t>
            </w:r>
            <w:r>
              <w:t>9.48</w:t>
            </w:r>
          </w:p>
        </w:tc>
        <w:tc>
          <w:tcPr>
            <w:tcW w:w="1559" w:type="dxa"/>
            <w:vAlign w:val="center"/>
          </w:tcPr>
          <w:p w14:paraId="0A31F932">
            <w:pPr>
              <w:jc w:val="center"/>
            </w:pPr>
            <w:r>
              <w:rPr>
                <w:rFonts w:hint="eastAsia"/>
              </w:rPr>
              <w:t>6</w:t>
            </w:r>
            <w:r>
              <w:t>.41E-04</w:t>
            </w:r>
          </w:p>
        </w:tc>
        <w:tc>
          <w:tcPr>
            <w:tcW w:w="1418" w:type="dxa"/>
            <w:vMerge w:val="restart"/>
            <w:vAlign w:val="center"/>
          </w:tcPr>
          <w:p w14:paraId="419803C7">
            <w:pPr>
              <w:jc w:val="center"/>
              <w:rPr>
                <w:rFonts w:ascii="Calibri" w:hAnsi="Calibri"/>
                <w:szCs w:val="21"/>
              </w:rPr>
            </w:pPr>
            <w:r>
              <w:rPr>
                <w:rFonts w:ascii="Calibri" w:hAnsi="Calibri"/>
                <w:szCs w:val="21"/>
              </w:rPr>
              <w:t>-0.62%</w:t>
            </w:r>
          </w:p>
        </w:tc>
        <w:tc>
          <w:tcPr>
            <w:tcW w:w="1184" w:type="dxa"/>
            <w:vMerge w:val="restart"/>
            <w:vAlign w:val="center"/>
          </w:tcPr>
          <w:p w14:paraId="2DA52BCA">
            <w:pPr>
              <w:jc w:val="center"/>
              <w:rPr>
                <w:rFonts w:ascii="Calibri" w:hAnsi="Calibri"/>
                <w:szCs w:val="21"/>
              </w:rPr>
            </w:pPr>
            <w:r>
              <w:rPr>
                <w:rFonts w:ascii="Calibri" w:hAnsi="Calibri"/>
                <w:szCs w:val="21"/>
              </w:rPr>
              <w:t>8.80E-05</w:t>
            </w:r>
          </w:p>
        </w:tc>
      </w:tr>
      <w:tr w14:paraId="0730DD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6" w:hRule="atLeast"/>
        </w:trPr>
        <w:tc>
          <w:tcPr>
            <w:tcW w:w="1556" w:type="dxa"/>
            <w:vAlign w:val="center"/>
          </w:tcPr>
          <w:p w14:paraId="01AEFB2A">
            <w:pPr>
              <w:jc w:val="center"/>
            </w:pPr>
            <w:r>
              <w:rPr>
                <w:rFonts w:hint="eastAsia"/>
              </w:rPr>
              <w:t>R1</w:t>
            </w:r>
            <w:r>
              <w:t>-</w:t>
            </w:r>
            <w:r>
              <w:rPr>
                <w:rFonts w:hint="eastAsia"/>
              </w:rPr>
              <w:t>国瓷</w:t>
            </w:r>
          </w:p>
        </w:tc>
        <w:tc>
          <w:tcPr>
            <w:tcW w:w="1532" w:type="dxa"/>
            <w:vAlign w:val="center"/>
          </w:tcPr>
          <w:p w14:paraId="4F3159AF">
            <w:pPr>
              <w:jc w:val="center"/>
            </w:pPr>
            <w:r>
              <w:rPr>
                <w:rFonts w:hint="eastAsia"/>
              </w:rPr>
              <w:t>2</w:t>
            </w:r>
            <w:r>
              <w:t>8 GHz</w:t>
            </w:r>
          </w:p>
        </w:tc>
        <w:tc>
          <w:tcPr>
            <w:tcW w:w="1449" w:type="dxa"/>
            <w:vAlign w:val="center"/>
          </w:tcPr>
          <w:p w14:paraId="12C6F70A">
            <w:pPr>
              <w:jc w:val="center"/>
            </w:pPr>
            <w:r>
              <w:rPr>
                <w:rFonts w:hint="eastAsia"/>
              </w:rPr>
              <w:t>1</w:t>
            </w:r>
            <w:r>
              <w:t>9.36</w:t>
            </w:r>
          </w:p>
        </w:tc>
        <w:tc>
          <w:tcPr>
            <w:tcW w:w="1559" w:type="dxa"/>
            <w:vAlign w:val="center"/>
          </w:tcPr>
          <w:p w14:paraId="054EBB99">
            <w:pPr>
              <w:jc w:val="center"/>
            </w:pPr>
            <w:r>
              <w:rPr>
                <w:rFonts w:hint="eastAsia"/>
              </w:rPr>
              <w:t>7</w:t>
            </w:r>
            <w:r>
              <w:t>.29E-04</w:t>
            </w:r>
          </w:p>
        </w:tc>
        <w:tc>
          <w:tcPr>
            <w:tcW w:w="1418" w:type="dxa"/>
            <w:vMerge w:val="continue"/>
            <w:vAlign w:val="center"/>
          </w:tcPr>
          <w:p w14:paraId="77CC3C56">
            <w:pPr>
              <w:jc w:val="center"/>
            </w:pPr>
          </w:p>
        </w:tc>
        <w:tc>
          <w:tcPr>
            <w:tcW w:w="1184" w:type="dxa"/>
            <w:vMerge w:val="continue"/>
            <w:vAlign w:val="center"/>
          </w:tcPr>
          <w:p w14:paraId="5610A1FB">
            <w:pPr>
              <w:jc w:val="center"/>
            </w:pPr>
          </w:p>
        </w:tc>
      </w:tr>
      <w:bookmarkEnd w:id="10"/>
    </w:tbl>
    <w:p w14:paraId="251563DE"/>
    <w:p w14:paraId="44D2EB4B">
      <w:pPr>
        <w:spacing w:line="360" w:lineRule="auto"/>
      </w:pPr>
      <w:r>
        <w:t xml:space="preserve">6.3.2 </w:t>
      </w:r>
      <w:r>
        <w:rPr>
          <w:rFonts w:hint="eastAsia"/>
        </w:rPr>
        <w:t>共焦式准光腔测试数据统计</w:t>
      </w:r>
    </w:p>
    <w:tbl>
      <w:tblPr>
        <w:tblStyle w:val="10"/>
        <w:tblW w:w="0" w:type="auto"/>
        <w:tblInd w:w="-1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49"/>
        <w:gridCol w:w="1527"/>
        <w:gridCol w:w="1319"/>
        <w:gridCol w:w="1701"/>
        <w:gridCol w:w="1427"/>
        <w:gridCol w:w="1175"/>
      </w:tblGrid>
      <w:tr w14:paraId="6BD20F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 w:hRule="atLeast"/>
        </w:trPr>
        <w:tc>
          <w:tcPr>
            <w:tcW w:w="1549" w:type="dxa"/>
            <w:vAlign w:val="center"/>
          </w:tcPr>
          <w:p w14:paraId="50CBDD19">
            <w:pPr>
              <w:jc w:val="center"/>
            </w:pPr>
            <w:bookmarkStart w:id="11" w:name="_Hlk145767881"/>
            <w:r>
              <w:rPr>
                <w:rFonts w:hint="eastAsia"/>
              </w:rPr>
              <w:t>测试样品</w:t>
            </w:r>
          </w:p>
        </w:tc>
        <w:tc>
          <w:tcPr>
            <w:tcW w:w="1527" w:type="dxa"/>
            <w:vAlign w:val="center"/>
          </w:tcPr>
          <w:p w14:paraId="2AADB74D">
            <w:pPr>
              <w:jc w:val="center"/>
            </w:pPr>
            <w:r>
              <w:rPr>
                <w:rFonts w:hint="eastAsia"/>
              </w:rPr>
              <w:t>测试频率</w:t>
            </w:r>
          </w:p>
        </w:tc>
        <w:tc>
          <w:tcPr>
            <w:tcW w:w="1319" w:type="dxa"/>
            <w:vAlign w:val="center"/>
          </w:tcPr>
          <w:p w14:paraId="1B66CA7A">
            <w:pPr>
              <w:jc w:val="center"/>
            </w:pPr>
            <m:oMathPara>
              <m:oMath>
                <m:sSup>
                  <m:sSupPr>
                    <m:ctrlPr>
                      <w:rPr>
                        <w:rFonts w:ascii="Cambria Math" w:hAnsi="Cambria Math"/>
                        <w:i/>
                        <w:sz w:val="22"/>
                        <w:szCs w:val="22"/>
                        <w:vertAlign w:val="subscript"/>
                      </w:rPr>
                    </m:ctrlPr>
                  </m:sSupPr>
                  <m:e>
                    <m:sSub>
                      <m:sSubPr>
                        <m:ctrlPr>
                          <w:rPr>
                            <w:rFonts w:ascii="Cambria Math" w:hAnsi="Cambria Math"/>
                            <w:i/>
                            <w:sz w:val="22"/>
                            <w:szCs w:val="22"/>
                          </w:rPr>
                        </m:ctrlPr>
                      </m:sSubPr>
                      <m:e>
                        <m:r>
                          <m:rPr>
                            <m:sty m:val="p"/>
                          </m:rPr>
                          <w:rPr>
                            <w:rFonts w:ascii="Cambria Math" w:hAnsi="Cambria Math"/>
                            <w:sz w:val="22"/>
                            <w:szCs w:val="22"/>
                          </w:rPr>
                          <m:t>ε</m:t>
                        </m:r>
                        <m:ctrlPr>
                          <w:rPr>
                            <w:rFonts w:ascii="Cambria Math" w:hAnsi="Cambria Math"/>
                            <w:i/>
                            <w:sz w:val="22"/>
                            <w:szCs w:val="22"/>
                          </w:rPr>
                        </m:ctrlPr>
                      </m:e>
                      <m:sub>
                        <m:r>
                          <m:rPr/>
                          <w:rPr>
                            <w:rFonts w:ascii="Cambria Math" w:hAnsi="Cambria Math"/>
                            <w:sz w:val="22"/>
                            <w:szCs w:val="22"/>
                          </w:rPr>
                          <m:t>r</m:t>
                        </m:r>
                        <m:ctrlPr>
                          <w:rPr>
                            <w:rFonts w:ascii="Cambria Math" w:hAnsi="Cambria Math"/>
                            <w:i/>
                            <w:sz w:val="22"/>
                            <w:szCs w:val="22"/>
                          </w:rPr>
                        </m:ctrlPr>
                      </m:sub>
                    </m:sSub>
                    <m:ctrlPr>
                      <w:rPr>
                        <w:rFonts w:ascii="Cambria Math" w:hAnsi="Cambria Math"/>
                        <w:i/>
                        <w:sz w:val="22"/>
                        <w:szCs w:val="22"/>
                        <w:vertAlign w:val="subscript"/>
                      </w:rPr>
                    </m:ctrlPr>
                  </m:e>
                  <m:sup>
                    <m:r>
                      <m:rPr/>
                      <w:rPr>
                        <w:rFonts w:ascii="Cambria Math" w:hAnsi="Cambria Math"/>
                        <w:sz w:val="22"/>
                        <w:szCs w:val="22"/>
                        <w:vertAlign w:val="subscript"/>
                      </w:rPr>
                      <m:t>'</m:t>
                    </m:r>
                    <m:ctrlPr>
                      <w:rPr>
                        <w:rFonts w:ascii="Cambria Math" w:hAnsi="Cambria Math"/>
                        <w:i/>
                        <w:sz w:val="22"/>
                        <w:szCs w:val="22"/>
                        <w:vertAlign w:val="subscript"/>
                      </w:rPr>
                    </m:ctrlPr>
                  </m:sup>
                </m:sSup>
              </m:oMath>
            </m:oMathPara>
          </w:p>
        </w:tc>
        <w:tc>
          <w:tcPr>
            <w:tcW w:w="1701" w:type="dxa"/>
            <w:vAlign w:val="center"/>
          </w:tcPr>
          <w:p w14:paraId="3792CE9D">
            <w:pPr>
              <w:jc w:val="center"/>
            </w:pPr>
            <m:oMathPara>
              <m:oMath>
                <m:func>
                  <m:funcPr>
                    <m:ctrlPr>
                      <w:rPr>
                        <w:rFonts w:ascii="Cambria Math" w:hAnsi="Cambria Math"/>
                        <w:sz w:val="22"/>
                        <w:szCs w:val="22"/>
                      </w:rPr>
                    </m:ctrlPr>
                  </m:funcPr>
                  <m:fName>
                    <m:r>
                      <m:rPr/>
                      <w:rPr>
                        <w:rFonts w:ascii="Cambria Math"/>
                        <w:sz w:val="22"/>
                        <w:szCs w:val="22"/>
                      </w:rPr>
                      <m:t>tan</m:t>
                    </m:r>
                    <m:ctrlPr>
                      <w:rPr>
                        <w:rFonts w:ascii="Cambria Math" w:hAnsi="Cambria Math"/>
                        <w:sz w:val="22"/>
                        <w:szCs w:val="22"/>
                      </w:rPr>
                    </m:ctrlPr>
                  </m:fName>
                  <m:e>
                    <m:r>
                      <m:rPr/>
                      <w:rPr>
                        <w:rFonts w:ascii="Cambria Math"/>
                        <w:sz w:val="22"/>
                        <w:szCs w:val="22"/>
                      </w:rPr>
                      <m:t>δ</m:t>
                    </m:r>
                    <m:ctrlPr>
                      <w:rPr>
                        <w:rFonts w:ascii="Cambria Math" w:hAnsi="Cambria Math"/>
                        <w:sz w:val="22"/>
                        <w:szCs w:val="22"/>
                      </w:rPr>
                    </m:ctrlPr>
                  </m:e>
                </m:func>
              </m:oMath>
            </m:oMathPara>
          </w:p>
        </w:tc>
        <w:tc>
          <w:tcPr>
            <w:tcW w:w="1427" w:type="dxa"/>
            <w:vAlign w:val="center"/>
          </w:tcPr>
          <w:p w14:paraId="42B677B4">
            <w:pPr>
              <w:jc w:val="center"/>
              <w:rPr>
                <w:rFonts w:ascii="Calibri" w:hAnsi="Calibri" w:eastAsia="宋体" w:cs="Times New Roman"/>
                <w:sz w:val="22"/>
                <w:szCs w:val="22"/>
              </w:rPr>
            </w:pPr>
            <m:oMath>
              <m:sSup>
                <m:sSupPr>
                  <m:ctrlPr>
                    <w:rPr>
                      <w:rFonts w:ascii="Cambria Math" w:hAnsi="Cambria Math"/>
                      <w:i/>
                      <w:sz w:val="22"/>
                      <w:szCs w:val="22"/>
                      <w:vertAlign w:val="subscript"/>
                    </w:rPr>
                  </m:ctrlPr>
                </m:sSupPr>
                <m:e>
                  <m:sSub>
                    <m:sSubPr>
                      <m:ctrlPr>
                        <w:rPr>
                          <w:rFonts w:ascii="Cambria Math" w:hAnsi="Cambria Math"/>
                          <w:i/>
                          <w:sz w:val="22"/>
                          <w:szCs w:val="22"/>
                        </w:rPr>
                      </m:ctrlPr>
                    </m:sSubPr>
                    <m:e>
                      <m:r>
                        <m:rPr>
                          <m:sty m:val="p"/>
                        </m:rPr>
                        <w:rPr>
                          <w:rFonts w:ascii="Cambria Math" w:hAnsi="Cambria Math"/>
                          <w:sz w:val="22"/>
                          <w:szCs w:val="22"/>
                        </w:rPr>
                        <m:t>ε</m:t>
                      </m:r>
                      <m:ctrlPr>
                        <w:rPr>
                          <w:rFonts w:ascii="Cambria Math" w:hAnsi="Cambria Math"/>
                          <w:i/>
                          <w:sz w:val="22"/>
                          <w:szCs w:val="22"/>
                        </w:rPr>
                      </m:ctrlPr>
                    </m:e>
                    <m:sub>
                      <m:r>
                        <m:rPr/>
                        <w:rPr>
                          <w:rFonts w:ascii="Cambria Math" w:hAnsi="Cambria Math"/>
                          <w:sz w:val="22"/>
                          <w:szCs w:val="22"/>
                        </w:rPr>
                        <m:t>r</m:t>
                      </m:r>
                      <m:ctrlPr>
                        <w:rPr>
                          <w:rFonts w:ascii="Cambria Math" w:hAnsi="Cambria Math"/>
                          <w:i/>
                          <w:sz w:val="22"/>
                          <w:szCs w:val="22"/>
                        </w:rPr>
                      </m:ctrlPr>
                    </m:sub>
                  </m:sSub>
                  <m:ctrlPr>
                    <w:rPr>
                      <w:rFonts w:ascii="Cambria Math" w:hAnsi="Cambria Math"/>
                      <w:i/>
                      <w:sz w:val="22"/>
                      <w:szCs w:val="22"/>
                      <w:vertAlign w:val="subscript"/>
                    </w:rPr>
                  </m:ctrlPr>
                </m:e>
                <m:sup>
                  <m:r>
                    <m:rPr/>
                    <w:rPr>
                      <w:rFonts w:ascii="Cambria Math" w:hAnsi="Cambria Math"/>
                      <w:sz w:val="22"/>
                      <w:szCs w:val="22"/>
                      <w:vertAlign w:val="subscript"/>
                    </w:rPr>
                    <m:t>'</m:t>
                  </m:r>
                  <m:ctrlPr>
                    <w:rPr>
                      <w:rFonts w:ascii="Cambria Math" w:hAnsi="Cambria Math"/>
                      <w:i/>
                      <w:sz w:val="22"/>
                      <w:szCs w:val="22"/>
                      <w:vertAlign w:val="subscript"/>
                    </w:rPr>
                  </m:ctrlPr>
                </m:sup>
              </m:sSup>
            </m:oMath>
            <w:r>
              <w:rPr>
                <w:rFonts w:hint="eastAsia" w:ascii="Calibri" w:hAnsi="Calibri" w:eastAsia="宋体" w:cs="Times New Roman"/>
                <w:sz w:val="22"/>
                <w:szCs w:val="22"/>
              </w:rPr>
              <w:t>相对偏差</w:t>
            </w:r>
          </w:p>
        </w:tc>
        <w:tc>
          <w:tcPr>
            <w:tcW w:w="1175" w:type="dxa"/>
            <w:vAlign w:val="center"/>
          </w:tcPr>
          <w:p w14:paraId="2FE398D8">
            <w:pPr>
              <w:jc w:val="center"/>
              <w:rPr>
                <w:rFonts w:ascii="Calibri" w:hAnsi="Calibri" w:eastAsia="宋体" w:cs="Times New Roman"/>
                <w:sz w:val="22"/>
                <w:szCs w:val="22"/>
              </w:rPr>
            </w:pPr>
            <m:oMath>
              <m:func>
                <m:funcPr>
                  <m:ctrlPr>
                    <w:rPr>
                      <w:rFonts w:ascii="Cambria Math" w:hAnsi="Cambria Math"/>
                      <w:sz w:val="22"/>
                      <w:szCs w:val="22"/>
                    </w:rPr>
                  </m:ctrlPr>
                </m:funcPr>
                <m:fName>
                  <m:r>
                    <m:rPr/>
                    <w:rPr>
                      <w:rFonts w:ascii="Cambria Math"/>
                      <w:sz w:val="22"/>
                      <w:szCs w:val="22"/>
                    </w:rPr>
                    <m:t>tan</m:t>
                  </m:r>
                  <m:ctrlPr>
                    <w:rPr>
                      <w:rFonts w:ascii="Cambria Math" w:hAnsi="Cambria Math"/>
                      <w:sz w:val="22"/>
                      <w:szCs w:val="22"/>
                    </w:rPr>
                  </m:ctrlPr>
                </m:fName>
                <m:e>
                  <m:r>
                    <m:rPr/>
                    <w:rPr>
                      <w:rFonts w:ascii="Cambria Math"/>
                      <w:sz w:val="22"/>
                      <w:szCs w:val="22"/>
                    </w:rPr>
                    <m:t>δ</m:t>
                  </m:r>
                  <m:ctrlPr>
                    <w:rPr>
                      <w:rFonts w:ascii="Cambria Math" w:hAnsi="Cambria Math"/>
                      <w:sz w:val="22"/>
                      <w:szCs w:val="22"/>
                    </w:rPr>
                  </m:ctrlPr>
                </m:e>
              </m:func>
            </m:oMath>
            <w:r>
              <w:rPr>
                <w:rFonts w:hint="eastAsia" w:ascii="Calibri" w:hAnsi="Calibri" w:eastAsia="宋体" w:cs="Times New Roman"/>
                <w:sz w:val="22"/>
                <w:szCs w:val="22"/>
              </w:rPr>
              <w:t>极差</w:t>
            </w:r>
          </w:p>
        </w:tc>
      </w:tr>
      <w:tr w14:paraId="1510A9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6" w:hRule="atLeast"/>
        </w:trPr>
        <w:tc>
          <w:tcPr>
            <w:tcW w:w="1549" w:type="dxa"/>
            <w:vAlign w:val="center"/>
          </w:tcPr>
          <w:p w14:paraId="71204E4C">
            <w:pPr>
              <w:jc w:val="center"/>
            </w:pPr>
            <w:r>
              <w:rPr>
                <w:rFonts w:hint="eastAsia"/>
              </w:rPr>
              <w:t>单晶石英-台湾工研院</w:t>
            </w:r>
          </w:p>
        </w:tc>
        <w:tc>
          <w:tcPr>
            <w:tcW w:w="1527" w:type="dxa"/>
          </w:tcPr>
          <w:p w14:paraId="6F1BFE8B">
            <w:pPr>
              <w:jc w:val="center"/>
            </w:pPr>
            <w:r>
              <w:rPr>
                <w:rFonts w:hint="eastAsia"/>
              </w:rPr>
              <w:t>2</w:t>
            </w:r>
            <w:r>
              <w:t>8GHz</w:t>
            </w:r>
          </w:p>
        </w:tc>
        <w:tc>
          <w:tcPr>
            <w:tcW w:w="1319" w:type="dxa"/>
            <w:vAlign w:val="center"/>
          </w:tcPr>
          <w:p w14:paraId="35374057">
            <w:pPr>
              <w:jc w:val="center"/>
            </w:pPr>
            <w:r>
              <w:rPr>
                <w:rFonts w:hint="eastAsia"/>
              </w:rPr>
              <w:t>3</w:t>
            </w:r>
            <w:r>
              <w:t>.702</w:t>
            </w:r>
          </w:p>
        </w:tc>
        <w:tc>
          <w:tcPr>
            <w:tcW w:w="1701" w:type="dxa"/>
            <w:vAlign w:val="center"/>
          </w:tcPr>
          <w:p w14:paraId="5E9956A6">
            <w:pPr>
              <w:jc w:val="center"/>
            </w:pPr>
            <w:r>
              <w:rPr>
                <w:rFonts w:hint="eastAsia"/>
              </w:rPr>
              <w:t>4</w:t>
            </w:r>
            <w:r>
              <w:t>.29E-04</w:t>
            </w:r>
          </w:p>
        </w:tc>
        <w:tc>
          <w:tcPr>
            <w:tcW w:w="1427" w:type="dxa"/>
            <w:vMerge w:val="restart"/>
            <w:vAlign w:val="center"/>
          </w:tcPr>
          <w:p w14:paraId="3C0C8B5F">
            <w:pPr>
              <w:jc w:val="center"/>
              <w:rPr>
                <w:rFonts w:ascii="Calibri" w:hAnsi="Calibri" w:eastAsia="宋体" w:cs="宋体"/>
                <w:szCs w:val="21"/>
              </w:rPr>
            </w:pPr>
            <w:r>
              <w:rPr>
                <w:rFonts w:ascii="Calibri" w:hAnsi="Calibri"/>
                <w:szCs w:val="21"/>
              </w:rPr>
              <w:t>1.43%</w:t>
            </w:r>
          </w:p>
        </w:tc>
        <w:tc>
          <w:tcPr>
            <w:tcW w:w="1175" w:type="dxa"/>
            <w:vMerge w:val="restart"/>
            <w:vAlign w:val="center"/>
          </w:tcPr>
          <w:p w14:paraId="3FFD9C2D">
            <w:pPr>
              <w:jc w:val="center"/>
              <w:rPr>
                <w:rFonts w:ascii="Calibri" w:hAnsi="Calibri"/>
                <w:szCs w:val="21"/>
              </w:rPr>
            </w:pPr>
            <w:r>
              <w:rPr>
                <w:rFonts w:ascii="Calibri" w:hAnsi="Calibri"/>
                <w:szCs w:val="21"/>
              </w:rPr>
              <w:t>-3.09E-04</w:t>
            </w:r>
          </w:p>
        </w:tc>
      </w:tr>
      <w:tr w14:paraId="48D525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6" w:hRule="atLeast"/>
        </w:trPr>
        <w:tc>
          <w:tcPr>
            <w:tcW w:w="1549" w:type="dxa"/>
            <w:vAlign w:val="center"/>
          </w:tcPr>
          <w:p w14:paraId="4CACA693">
            <w:pPr>
              <w:jc w:val="center"/>
            </w:pPr>
            <w:r>
              <w:rPr>
                <w:rFonts w:hint="eastAsia"/>
              </w:rPr>
              <w:t>单晶石英-国瓷</w:t>
            </w:r>
          </w:p>
        </w:tc>
        <w:tc>
          <w:tcPr>
            <w:tcW w:w="1527" w:type="dxa"/>
            <w:vAlign w:val="center"/>
          </w:tcPr>
          <w:p w14:paraId="38233D13">
            <w:pPr>
              <w:jc w:val="center"/>
            </w:pPr>
            <w:r>
              <w:rPr>
                <w:rFonts w:hint="eastAsia"/>
              </w:rPr>
              <w:t>2</w:t>
            </w:r>
            <w:r>
              <w:t>8 GHz</w:t>
            </w:r>
          </w:p>
        </w:tc>
        <w:tc>
          <w:tcPr>
            <w:tcW w:w="1319" w:type="dxa"/>
            <w:vAlign w:val="center"/>
          </w:tcPr>
          <w:p w14:paraId="20CCF829">
            <w:pPr>
              <w:jc w:val="center"/>
            </w:pPr>
            <w:r>
              <w:rPr>
                <w:rFonts w:hint="eastAsia"/>
              </w:rPr>
              <w:t>3</w:t>
            </w:r>
            <w:r>
              <w:t>.755</w:t>
            </w:r>
          </w:p>
        </w:tc>
        <w:tc>
          <w:tcPr>
            <w:tcW w:w="1701" w:type="dxa"/>
            <w:vAlign w:val="center"/>
          </w:tcPr>
          <w:p w14:paraId="22B656AC">
            <w:pPr>
              <w:jc w:val="center"/>
            </w:pPr>
            <w:r>
              <w:t>1.20E-04</w:t>
            </w:r>
          </w:p>
        </w:tc>
        <w:tc>
          <w:tcPr>
            <w:tcW w:w="1427" w:type="dxa"/>
            <w:vMerge w:val="continue"/>
            <w:vAlign w:val="center"/>
          </w:tcPr>
          <w:p w14:paraId="2BD7E9FB">
            <w:pPr>
              <w:rPr>
                <w:rFonts w:ascii="Calibri" w:hAnsi="Calibri" w:eastAsia="宋体" w:cs="宋体"/>
                <w:szCs w:val="21"/>
              </w:rPr>
            </w:pPr>
          </w:p>
        </w:tc>
        <w:tc>
          <w:tcPr>
            <w:tcW w:w="1175" w:type="dxa"/>
            <w:vMerge w:val="continue"/>
            <w:vAlign w:val="center"/>
          </w:tcPr>
          <w:p w14:paraId="0629DE84">
            <w:pPr>
              <w:rPr>
                <w:rFonts w:ascii="Calibri" w:hAnsi="Calibri" w:eastAsia="宋体" w:cs="宋体"/>
                <w:szCs w:val="21"/>
              </w:rPr>
            </w:pPr>
          </w:p>
        </w:tc>
      </w:tr>
      <w:tr w14:paraId="793F49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2" w:hRule="atLeast"/>
        </w:trPr>
        <w:tc>
          <w:tcPr>
            <w:tcW w:w="1549" w:type="dxa"/>
            <w:vAlign w:val="center"/>
          </w:tcPr>
          <w:p w14:paraId="58F269E6">
            <w:pPr>
              <w:jc w:val="center"/>
            </w:pPr>
            <w:r>
              <w:rPr>
                <w:rFonts w:hint="eastAsia"/>
              </w:rPr>
              <w:t>蓝宝石- 台湾工研院</w:t>
            </w:r>
          </w:p>
        </w:tc>
        <w:tc>
          <w:tcPr>
            <w:tcW w:w="1527" w:type="dxa"/>
          </w:tcPr>
          <w:p w14:paraId="06388F45">
            <w:pPr>
              <w:jc w:val="center"/>
            </w:pPr>
            <w:r>
              <w:rPr>
                <w:rFonts w:hint="eastAsia"/>
              </w:rPr>
              <w:t>2</w:t>
            </w:r>
            <w:r>
              <w:t>8 GHz</w:t>
            </w:r>
          </w:p>
        </w:tc>
        <w:tc>
          <w:tcPr>
            <w:tcW w:w="1319" w:type="dxa"/>
            <w:vAlign w:val="center"/>
          </w:tcPr>
          <w:p w14:paraId="4D43980A">
            <w:pPr>
              <w:jc w:val="center"/>
            </w:pPr>
            <w:r>
              <w:rPr>
                <w:rFonts w:hint="eastAsia"/>
              </w:rPr>
              <w:t>9</w:t>
            </w:r>
            <w:r>
              <w:t>.36</w:t>
            </w:r>
          </w:p>
        </w:tc>
        <w:tc>
          <w:tcPr>
            <w:tcW w:w="1701" w:type="dxa"/>
            <w:vAlign w:val="center"/>
          </w:tcPr>
          <w:p w14:paraId="68C4DCBD">
            <w:pPr>
              <w:jc w:val="center"/>
            </w:pPr>
            <w:r>
              <w:rPr>
                <w:rFonts w:hint="eastAsia"/>
              </w:rPr>
              <w:t>4</w:t>
            </w:r>
            <w:r>
              <w:t>.45E-04</w:t>
            </w:r>
          </w:p>
        </w:tc>
        <w:tc>
          <w:tcPr>
            <w:tcW w:w="1427" w:type="dxa"/>
            <w:vMerge w:val="restart"/>
            <w:vAlign w:val="center"/>
          </w:tcPr>
          <w:p w14:paraId="4388E325">
            <w:pPr>
              <w:jc w:val="center"/>
              <w:rPr>
                <w:rFonts w:ascii="Calibri" w:hAnsi="Calibri"/>
                <w:szCs w:val="21"/>
              </w:rPr>
            </w:pPr>
            <w:r>
              <w:rPr>
                <w:rFonts w:ascii="Calibri" w:hAnsi="Calibri"/>
                <w:szCs w:val="21"/>
              </w:rPr>
              <w:t>-1.18%</w:t>
            </w:r>
          </w:p>
        </w:tc>
        <w:tc>
          <w:tcPr>
            <w:tcW w:w="1175" w:type="dxa"/>
            <w:vMerge w:val="restart"/>
            <w:vAlign w:val="center"/>
          </w:tcPr>
          <w:p w14:paraId="4E9CD7C7">
            <w:pPr>
              <w:jc w:val="center"/>
              <w:rPr>
                <w:rFonts w:ascii="Calibri" w:hAnsi="Calibri"/>
                <w:szCs w:val="21"/>
              </w:rPr>
            </w:pPr>
            <w:r>
              <w:rPr>
                <w:rFonts w:ascii="Calibri" w:hAnsi="Calibri"/>
                <w:szCs w:val="21"/>
              </w:rPr>
              <w:t>6.90E-05</w:t>
            </w:r>
          </w:p>
        </w:tc>
      </w:tr>
      <w:tr w14:paraId="202B8F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2" w:hRule="atLeast"/>
        </w:trPr>
        <w:tc>
          <w:tcPr>
            <w:tcW w:w="1549" w:type="dxa"/>
            <w:vAlign w:val="center"/>
          </w:tcPr>
          <w:p w14:paraId="007C8BCE">
            <w:pPr>
              <w:jc w:val="center"/>
            </w:pPr>
            <w:r>
              <w:rPr>
                <w:rFonts w:hint="eastAsia"/>
              </w:rPr>
              <w:t>蓝宝石-国瓷</w:t>
            </w:r>
          </w:p>
        </w:tc>
        <w:tc>
          <w:tcPr>
            <w:tcW w:w="1527" w:type="dxa"/>
          </w:tcPr>
          <w:p w14:paraId="6A87C218">
            <w:pPr>
              <w:jc w:val="center"/>
            </w:pPr>
            <w:r>
              <w:rPr>
                <w:rFonts w:hint="eastAsia"/>
              </w:rPr>
              <w:t>2</w:t>
            </w:r>
            <w:r>
              <w:t>8 GHz</w:t>
            </w:r>
          </w:p>
        </w:tc>
        <w:tc>
          <w:tcPr>
            <w:tcW w:w="1319" w:type="dxa"/>
            <w:vAlign w:val="center"/>
          </w:tcPr>
          <w:p w14:paraId="28CFBABE">
            <w:pPr>
              <w:jc w:val="center"/>
            </w:pPr>
            <w:r>
              <w:rPr>
                <w:rFonts w:hint="eastAsia"/>
              </w:rPr>
              <w:t>9</w:t>
            </w:r>
            <w:r>
              <w:t>.25</w:t>
            </w:r>
          </w:p>
        </w:tc>
        <w:tc>
          <w:tcPr>
            <w:tcW w:w="1701" w:type="dxa"/>
            <w:vAlign w:val="center"/>
          </w:tcPr>
          <w:p w14:paraId="548F7CE4">
            <w:pPr>
              <w:jc w:val="center"/>
            </w:pPr>
            <w:r>
              <w:rPr>
                <w:rFonts w:hint="eastAsia"/>
              </w:rPr>
              <w:t>5</w:t>
            </w:r>
            <w:r>
              <w:t>.14E-04</w:t>
            </w:r>
          </w:p>
        </w:tc>
        <w:tc>
          <w:tcPr>
            <w:tcW w:w="1427" w:type="dxa"/>
            <w:vMerge w:val="continue"/>
            <w:vAlign w:val="center"/>
          </w:tcPr>
          <w:p w14:paraId="33EC4559">
            <w:pPr>
              <w:rPr>
                <w:rFonts w:ascii="Calibri" w:hAnsi="Calibri" w:eastAsia="宋体" w:cs="宋体"/>
                <w:szCs w:val="21"/>
              </w:rPr>
            </w:pPr>
          </w:p>
        </w:tc>
        <w:tc>
          <w:tcPr>
            <w:tcW w:w="1175" w:type="dxa"/>
            <w:vMerge w:val="continue"/>
            <w:vAlign w:val="center"/>
          </w:tcPr>
          <w:p w14:paraId="2A2E1982">
            <w:pPr>
              <w:rPr>
                <w:rFonts w:ascii="Calibri" w:hAnsi="Calibri" w:eastAsia="宋体" w:cs="宋体"/>
                <w:szCs w:val="21"/>
              </w:rPr>
            </w:pPr>
          </w:p>
        </w:tc>
      </w:tr>
      <w:tr w14:paraId="2B4253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6" w:hRule="atLeast"/>
        </w:trPr>
        <w:tc>
          <w:tcPr>
            <w:tcW w:w="1549" w:type="dxa"/>
            <w:vAlign w:val="center"/>
          </w:tcPr>
          <w:p w14:paraId="142FF4F6">
            <w:pPr>
              <w:jc w:val="center"/>
            </w:pPr>
            <w:r>
              <w:rPr>
                <w:rFonts w:hint="eastAsia"/>
              </w:rPr>
              <w:t>R1</w:t>
            </w:r>
            <w:r>
              <w:t>-</w:t>
            </w:r>
            <w:r>
              <w:rPr>
                <w:rFonts w:hint="eastAsia"/>
              </w:rPr>
              <w:t>台湾工研院</w:t>
            </w:r>
          </w:p>
        </w:tc>
        <w:tc>
          <w:tcPr>
            <w:tcW w:w="1527" w:type="dxa"/>
          </w:tcPr>
          <w:p w14:paraId="2C6F430F">
            <w:pPr>
              <w:jc w:val="center"/>
            </w:pPr>
            <w:r>
              <w:rPr>
                <w:rFonts w:hint="eastAsia"/>
              </w:rPr>
              <w:t>2</w:t>
            </w:r>
            <w:r>
              <w:t>4GHz</w:t>
            </w:r>
          </w:p>
        </w:tc>
        <w:tc>
          <w:tcPr>
            <w:tcW w:w="1319" w:type="dxa"/>
            <w:vAlign w:val="center"/>
          </w:tcPr>
          <w:p w14:paraId="23EE4CCF">
            <w:pPr>
              <w:jc w:val="center"/>
            </w:pPr>
            <w:r>
              <w:t>22.873</w:t>
            </w:r>
          </w:p>
        </w:tc>
        <w:tc>
          <w:tcPr>
            <w:tcW w:w="1701" w:type="dxa"/>
            <w:vAlign w:val="center"/>
          </w:tcPr>
          <w:p w14:paraId="7B91053D">
            <w:pPr>
              <w:jc w:val="center"/>
            </w:pPr>
            <w:r>
              <w:t>2.65E-04</w:t>
            </w:r>
          </w:p>
        </w:tc>
        <w:tc>
          <w:tcPr>
            <w:tcW w:w="1427" w:type="dxa"/>
            <w:vMerge w:val="restart"/>
            <w:vAlign w:val="center"/>
          </w:tcPr>
          <w:p w14:paraId="361DFD30">
            <w:pPr>
              <w:jc w:val="center"/>
              <w:rPr>
                <w:rFonts w:ascii="Calibri" w:hAnsi="Calibri"/>
                <w:szCs w:val="21"/>
              </w:rPr>
            </w:pPr>
            <w:r>
              <w:rPr>
                <w:rFonts w:ascii="Calibri" w:hAnsi="Calibri"/>
                <w:szCs w:val="21"/>
              </w:rPr>
              <w:t>-1.21%</w:t>
            </w:r>
          </w:p>
        </w:tc>
        <w:tc>
          <w:tcPr>
            <w:tcW w:w="1175" w:type="dxa"/>
            <w:vMerge w:val="restart"/>
            <w:vAlign w:val="center"/>
          </w:tcPr>
          <w:p w14:paraId="2330745C">
            <w:pPr>
              <w:jc w:val="center"/>
              <w:rPr>
                <w:rFonts w:ascii="Calibri" w:hAnsi="Calibri"/>
                <w:szCs w:val="21"/>
              </w:rPr>
            </w:pPr>
            <w:r>
              <w:rPr>
                <w:rFonts w:ascii="Calibri" w:hAnsi="Calibri"/>
                <w:szCs w:val="21"/>
              </w:rPr>
              <w:t>2.10E-05</w:t>
            </w:r>
          </w:p>
        </w:tc>
      </w:tr>
      <w:tr w14:paraId="418525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 w:hRule="atLeast"/>
        </w:trPr>
        <w:tc>
          <w:tcPr>
            <w:tcW w:w="1549" w:type="dxa"/>
            <w:vAlign w:val="center"/>
          </w:tcPr>
          <w:p w14:paraId="29D8EC22">
            <w:pPr>
              <w:jc w:val="center"/>
            </w:pPr>
            <w:r>
              <w:rPr>
                <w:rFonts w:hint="eastAsia"/>
              </w:rPr>
              <w:t>R1</w:t>
            </w:r>
            <w:r>
              <w:t>-</w:t>
            </w:r>
            <w:r>
              <w:rPr>
                <w:rFonts w:hint="eastAsia"/>
              </w:rPr>
              <w:t>国瓷</w:t>
            </w:r>
          </w:p>
        </w:tc>
        <w:tc>
          <w:tcPr>
            <w:tcW w:w="1527" w:type="dxa"/>
          </w:tcPr>
          <w:p w14:paraId="5C0AFF50">
            <w:pPr>
              <w:jc w:val="center"/>
            </w:pPr>
            <w:r>
              <w:rPr>
                <w:rFonts w:hint="eastAsia"/>
              </w:rPr>
              <w:t>2</w:t>
            </w:r>
            <w:r>
              <w:t>4 GHz</w:t>
            </w:r>
          </w:p>
        </w:tc>
        <w:tc>
          <w:tcPr>
            <w:tcW w:w="1319" w:type="dxa"/>
            <w:vAlign w:val="center"/>
          </w:tcPr>
          <w:p w14:paraId="5A8BEAE3">
            <w:pPr>
              <w:jc w:val="center"/>
            </w:pPr>
            <w:r>
              <w:t>22.597</w:t>
            </w:r>
          </w:p>
        </w:tc>
        <w:tc>
          <w:tcPr>
            <w:tcW w:w="1701" w:type="dxa"/>
            <w:vAlign w:val="center"/>
          </w:tcPr>
          <w:p w14:paraId="4F345DBF">
            <w:pPr>
              <w:jc w:val="center"/>
            </w:pPr>
            <w:r>
              <w:rPr>
                <w:rFonts w:hint="eastAsia"/>
              </w:rPr>
              <w:t>2</w:t>
            </w:r>
            <w:r>
              <w:t>.86E-04</w:t>
            </w:r>
          </w:p>
        </w:tc>
        <w:tc>
          <w:tcPr>
            <w:tcW w:w="1427" w:type="dxa"/>
            <w:vMerge w:val="continue"/>
            <w:vAlign w:val="center"/>
          </w:tcPr>
          <w:p w14:paraId="354B8479">
            <w:pPr>
              <w:rPr>
                <w:rFonts w:ascii="Calibri" w:hAnsi="Calibri" w:eastAsia="宋体" w:cs="宋体"/>
                <w:szCs w:val="21"/>
              </w:rPr>
            </w:pPr>
          </w:p>
        </w:tc>
        <w:tc>
          <w:tcPr>
            <w:tcW w:w="1175" w:type="dxa"/>
            <w:vMerge w:val="continue"/>
            <w:vAlign w:val="center"/>
          </w:tcPr>
          <w:p w14:paraId="3F959D8C">
            <w:pPr>
              <w:rPr>
                <w:rFonts w:ascii="Calibri" w:hAnsi="Calibri" w:eastAsia="宋体" w:cs="宋体"/>
                <w:szCs w:val="21"/>
              </w:rPr>
            </w:pPr>
          </w:p>
        </w:tc>
      </w:tr>
      <w:bookmarkEnd w:id="11"/>
    </w:tbl>
    <w:p w14:paraId="575CF02C"/>
    <w:p w14:paraId="74DB5946">
      <w:pPr>
        <w:spacing w:line="360" w:lineRule="auto"/>
      </w:pPr>
      <w:r>
        <w:rPr>
          <w:rFonts w:hint="eastAsia"/>
        </w:rPr>
        <w:t>6</w:t>
      </w:r>
      <w:r>
        <w:t xml:space="preserve">.3.3 </w:t>
      </w:r>
      <w:r>
        <w:rPr>
          <w:rFonts w:hint="eastAsia"/>
        </w:rPr>
        <w:t>半共焦式准光腔测试数据统计</w:t>
      </w:r>
    </w:p>
    <w:tbl>
      <w:tblPr>
        <w:tblStyle w:val="10"/>
        <w:tblW w:w="0" w:type="auto"/>
        <w:tblInd w:w="-1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49"/>
        <w:gridCol w:w="1527"/>
        <w:gridCol w:w="1319"/>
        <w:gridCol w:w="1418"/>
        <w:gridCol w:w="1710"/>
        <w:gridCol w:w="1175"/>
      </w:tblGrid>
      <w:tr w14:paraId="386E79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 w:hRule="atLeast"/>
        </w:trPr>
        <w:tc>
          <w:tcPr>
            <w:tcW w:w="1549" w:type="dxa"/>
            <w:vAlign w:val="center"/>
          </w:tcPr>
          <w:p w14:paraId="0345E9ED">
            <w:pPr>
              <w:jc w:val="center"/>
            </w:pPr>
            <w:bookmarkStart w:id="12" w:name="_Hlk145768022"/>
            <w:r>
              <w:rPr>
                <w:rFonts w:hint="eastAsia"/>
              </w:rPr>
              <w:t>测试样品</w:t>
            </w:r>
          </w:p>
        </w:tc>
        <w:tc>
          <w:tcPr>
            <w:tcW w:w="1527" w:type="dxa"/>
            <w:vAlign w:val="center"/>
          </w:tcPr>
          <w:p w14:paraId="547BFD0A">
            <w:pPr>
              <w:jc w:val="center"/>
            </w:pPr>
            <w:r>
              <w:rPr>
                <w:rFonts w:hint="eastAsia"/>
              </w:rPr>
              <w:t>测试频率</w:t>
            </w:r>
          </w:p>
        </w:tc>
        <w:tc>
          <w:tcPr>
            <w:tcW w:w="1319" w:type="dxa"/>
            <w:vAlign w:val="center"/>
          </w:tcPr>
          <w:p w14:paraId="1F0AE3A0">
            <w:pPr>
              <w:jc w:val="center"/>
            </w:pPr>
            <m:oMathPara>
              <m:oMath>
                <m:sSup>
                  <m:sSupPr>
                    <m:ctrlPr>
                      <w:rPr>
                        <w:rFonts w:ascii="Cambria Math" w:hAnsi="Cambria Math"/>
                        <w:i/>
                        <w:sz w:val="22"/>
                        <w:szCs w:val="22"/>
                        <w:vertAlign w:val="subscript"/>
                      </w:rPr>
                    </m:ctrlPr>
                  </m:sSupPr>
                  <m:e>
                    <m:sSub>
                      <m:sSubPr>
                        <m:ctrlPr>
                          <w:rPr>
                            <w:rFonts w:ascii="Cambria Math" w:hAnsi="Cambria Math"/>
                            <w:i/>
                            <w:sz w:val="22"/>
                            <w:szCs w:val="22"/>
                          </w:rPr>
                        </m:ctrlPr>
                      </m:sSubPr>
                      <m:e>
                        <m:r>
                          <m:rPr>
                            <m:sty m:val="p"/>
                          </m:rPr>
                          <w:rPr>
                            <w:rFonts w:ascii="Cambria Math" w:hAnsi="Cambria Math"/>
                            <w:sz w:val="22"/>
                            <w:szCs w:val="22"/>
                          </w:rPr>
                          <m:t>ε</m:t>
                        </m:r>
                        <m:ctrlPr>
                          <w:rPr>
                            <w:rFonts w:ascii="Cambria Math" w:hAnsi="Cambria Math"/>
                            <w:i/>
                            <w:sz w:val="22"/>
                            <w:szCs w:val="22"/>
                          </w:rPr>
                        </m:ctrlPr>
                      </m:e>
                      <m:sub>
                        <m:r>
                          <m:rPr/>
                          <w:rPr>
                            <w:rFonts w:ascii="Cambria Math" w:hAnsi="Cambria Math"/>
                            <w:sz w:val="22"/>
                            <w:szCs w:val="22"/>
                          </w:rPr>
                          <m:t>r</m:t>
                        </m:r>
                        <m:ctrlPr>
                          <w:rPr>
                            <w:rFonts w:ascii="Cambria Math" w:hAnsi="Cambria Math"/>
                            <w:i/>
                            <w:sz w:val="22"/>
                            <w:szCs w:val="22"/>
                          </w:rPr>
                        </m:ctrlPr>
                      </m:sub>
                    </m:sSub>
                    <m:ctrlPr>
                      <w:rPr>
                        <w:rFonts w:ascii="Cambria Math" w:hAnsi="Cambria Math"/>
                        <w:i/>
                        <w:sz w:val="22"/>
                        <w:szCs w:val="22"/>
                        <w:vertAlign w:val="subscript"/>
                      </w:rPr>
                    </m:ctrlPr>
                  </m:e>
                  <m:sup>
                    <m:r>
                      <m:rPr/>
                      <w:rPr>
                        <w:rFonts w:ascii="Cambria Math" w:hAnsi="Cambria Math"/>
                        <w:sz w:val="22"/>
                        <w:szCs w:val="22"/>
                        <w:vertAlign w:val="subscript"/>
                      </w:rPr>
                      <m:t>'</m:t>
                    </m:r>
                    <m:ctrlPr>
                      <w:rPr>
                        <w:rFonts w:ascii="Cambria Math" w:hAnsi="Cambria Math"/>
                        <w:i/>
                        <w:sz w:val="22"/>
                        <w:szCs w:val="22"/>
                        <w:vertAlign w:val="subscript"/>
                      </w:rPr>
                    </m:ctrlPr>
                  </m:sup>
                </m:sSup>
              </m:oMath>
            </m:oMathPara>
          </w:p>
        </w:tc>
        <w:tc>
          <w:tcPr>
            <w:tcW w:w="1418" w:type="dxa"/>
            <w:vAlign w:val="center"/>
          </w:tcPr>
          <w:p w14:paraId="7C705E4D">
            <w:pPr>
              <w:jc w:val="center"/>
            </w:pPr>
            <m:oMathPara>
              <m:oMath>
                <m:func>
                  <m:funcPr>
                    <m:ctrlPr>
                      <w:rPr>
                        <w:rFonts w:ascii="Cambria Math" w:hAnsi="Cambria Math"/>
                        <w:sz w:val="22"/>
                        <w:szCs w:val="22"/>
                      </w:rPr>
                    </m:ctrlPr>
                  </m:funcPr>
                  <m:fName>
                    <m:r>
                      <m:rPr/>
                      <w:rPr>
                        <w:rFonts w:ascii="Cambria Math"/>
                        <w:sz w:val="22"/>
                        <w:szCs w:val="22"/>
                      </w:rPr>
                      <m:t>tan</m:t>
                    </m:r>
                    <m:ctrlPr>
                      <w:rPr>
                        <w:rFonts w:ascii="Cambria Math" w:hAnsi="Cambria Math"/>
                        <w:sz w:val="22"/>
                        <w:szCs w:val="22"/>
                      </w:rPr>
                    </m:ctrlPr>
                  </m:fName>
                  <m:e>
                    <m:r>
                      <m:rPr/>
                      <w:rPr>
                        <w:rFonts w:ascii="Cambria Math"/>
                        <w:sz w:val="22"/>
                        <w:szCs w:val="22"/>
                      </w:rPr>
                      <m:t>δ</m:t>
                    </m:r>
                    <m:ctrlPr>
                      <w:rPr>
                        <w:rFonts w:ascii="Cambria Math" w:hAnsi="Cambria Math"/>
                        <w:sz w:val="22"/>
                        <w:szCs w:val="22"/>
                      </w:rPr>
                    </m:ctrlPr>
                  </m:e>
                </m:func>
              </m:oMath>
            </m:oMathPara>
          </w:p>
        </w:tc>
        <w:tc>
          <w:tcPr>
            <w:tcW w:w="1710" w:type="dxa"/>
            <w:vAlign w:val="center"/>
          </w:tcPr>
          <w:p w14:paraId="2E6EF402">
            <w:pPr>
              <w:jc w:val="center"/>
              <w:rPr>
                <w:rFonts w:ascii="Calibri" w:hAnsi="Calibri" w:eastAsia="宋体" w:cs="Times New Roman"/>
                <w:sz w:val="22"/>
                <w:szCs w:val="22"/>
              </w:rPr>
            </w:pPr>
            <m:oMath>
              <m:sSup>
                <m:sSupPr>
                  <m:ctrlPr>
                    <w:rPr>
                      <w:rFonts w:ascii="Cambria Math" w:hAnsi="Cambria Math"/>
                      <w:i/>
                      <w:sz w:val="22"/>
                      <w:szCs w:val="22"/>
                      <w:vertAlign w:val="subscript"/>
                    </w:rPr>
                  </m:ctrlPr>
                </m:sSupPr>
                <m:e>
                  <m:sSub>
                    <m:sSubPr>
                      <m:ctrlPr>
                        <w:rPr>
                          <w:rFonts w:ascii="Cambria Math" w:hAnsi="Cambria Math"/>
                          <w:i/>
                          <w:sz w:val="22"/>
                          <w:szCs w:val="22"/>
                        </w:rPr>
                      </m:ctrlPr>
                    </m:sSubPr>
                    <m:e>
                      <m:r>
                        <m:rPr>
                          <m:sty m:val="p"/>
                        </m:rPr>
                        <w:rPr>
                          <w:rFonts w:ascii="Cambria Math" w:hAnsi="Cambria Math"/>
                          <w:sz w:val="22"/>
                          <w:szCs w:val="22"/>
                        </w:rPr>
                        <m:t>ε</m:t>
                      </m:r>
                      <m:ctrlPr>
                        <w:rPr>
                          <w:rFonts w:ascii="Cambria Math" w:hAnsi="Cambria Math"/>
                          <w:i/>
                          <w:sz w:val="22"/>
                          <w:szCs w:val="22"/>
                        </w:rPr>
                      </m:ctrlPr>
                    </m:e>
                    <m:sub>
                      <m:r>
                        <m:rPr/>
                        <w:rPr>
                          <w:rFonts w:ascii="Cambria Math" w:hAnsi="Cambria Math"/>
                          <w:sz w:val="22"/>
                          <w:szCs w:val="22"/>
                        </w:rPr>
                        <m:t>r</m:t>
                      </m:r>
                      <m:ctrlPr>
                        <w:rPr>
                          <w:rFonts w:ascii="Cambria Math" w:hAnsi="Cambria Math"/>
                          <w:i/>
                          <w:sz w:val="22"/>
                          <w:szCs w:val="22"/>
                        </w:rPr>
                      </m:ctrlPr>
                    </m:sub>
                  </m:sSub>
                  <m:ctrlPr>
                    <w:rPr>
                      <w:rFonts w:ascii="Cambria Math" w:hAnsi="Cambria Math"/>
                      <w:i/>
                      <w:sz w:val="22"/>
                      <w:szCs w:val="22"/>
                      <w:vertAlign w:val="subscript"/>
                    </w:rPr>
                  </m:ctrlPr>
                </m:e>
                <m:sup>
                  <m:r>
                    <m:rPr/>
                    <w:rPr>
                      <w:rFonts w:ascii="Cambria Math" w:hAnsi="Cambria Math"/>
                      <w:sz w:val="22"/>
                      <w:szCs w:val="22"/>
                      <w:vertAlign w:val="subscript"/>
                    </w:rPr>
                    <m:t>'</m:t>
                  </m:r>
                  <m:ctrlPr>
                    <w:rPr>
                      <w:rFonts w:ascii="Cambria Math" w:hAnsi="Cambria Math"/>
                      <w:i/>
                      <w:sz w:val="22"/>
                      <w:szCs w:val="22"/>
                      <w:vertAlign w:val="subscript"/>
                    </w:rPr>
                  </m:ctrlPr>
                </m:sup>
              </m:sSup>
            </m:oMath>
            <w:r>
              <w:rPr>
                <w:rFonts w:hint="eastAsia" w:ascii="Calibri" w:hAnsi="Calibri" w:eastAsia="宋体" w:cs="Times New Roman"/>
                <w:sz w:val="22"/>
                <w:szCs w:val="22"/>
              </w:rPr>
              <w:t>相对偏差</w:t>
            </w:r>
          </w:p>
        </w:tc>
        <w:tc>
          <w:tcPr>
            <w:tcW w:w="1175" w:type="dxa"/>
            <w:vAlign w:val="center"/>
          </w:tcPr>
          <w:p w14:paraId="1C7F2808">
            <w:pPr>
              <w:jc w:val="center"/>
              <w:rPr>
                <w:rFonts w:ascii="Calibri" w:hAnsi="Calibri" w:eastAsia="宋体" w:cs="Times New Roman"/>
                <w:sz w:val="22"/>
                <w:szCs w:val="22"/>
              </w:rPr>
            </w:pPr>
            <m:oMath>
              <m:func>
                <m:funcPr>
                  <m:ctrlPr>
                    <w:rPr>
                      <w:rFonts w:ascii="Cambria Math" w:hAnsi="Cambria Math"/>
                      <w:sz w:val="22"/>
                      <w:szCs w:val="22"/>
                    </w:rPr>
                  </m:ctrlPr>
                </m:funcPr>
                <m:fName>
                  <m:r>
                    <m:rPr/>
                    <w:rPr>
                      <w:rFonts w:ascii="Cambria Math"/>
                      <w:sz w:val="22"/>
                      <w:szCs w:val="22"/>
                    </w:rPr>
                    <m:t>tan</m:t>
                  </m:r>
                  <m:ctrlPr>
                    <w:rPr>
                      <w:rFonts w:ascii="Cambria Math" w:hAnsi="Cambria Math"/>
                      <w:sz w:val="22"/>
                      <w:szCs w:val="22"/>
                    </w:rPr>
                  </m:ctrlPr>
                </m:fName>
                <m:e>
                  <m:r>
                    <m:rPr/>
                    <w:rPr>
                      <w:rFonts w:ascii="Cambria Math"/>
                      <w:sz w:val="22"/>
                      <w:szCs w:val="22"/>
                    </w:rPr>
                    <m:t>δ</m:t>
                  </m:r>
                  <m:ctrlPr>
                    <w:rPr>
                      <w:rFonts w:ascii="Cambria Math" w:hAnsi="Cambria Math"/>
                      <w:sz w:val="22"/>
                      <w:szCs w:val="22"/>
                    </w:rPr>
                  </m:ctrlPr>
                </m:e>
              </m:func>
            </m:oMath>
            <w:r>
              <w:rPr>
                <w:rFonts w:hint="eastAsia" w:ascii="Calibri" w:hAnsi="Calibri" w:eastAsia="宋体" w:cs="Times New Roman"/>
                <w:sz w:val="22"/>
                <w:szCs w:val="22"/>
              </w:rPr>
              <w:t>极差</w:t>
            </w:r>
          </w:p>
        </w:tc>
      </w:tr>
      <w:tr w14:paraId="44F31C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6" w:hRule="atLeast"/>
        </w:trPr>
        <w:tc>
          <w:tcPr>
            <w:tcW w:w="1549" w:type="dxa"/>
            <w:vAlign w:val="center"/>
          </w:tcPr>
          <w:p w14:paraId="4E5F5D8F">
            <w:pPr>
              <w:jc w:val="center"/>
            </w:pPr>
            <w:r>
              <w:rPr>
                <w:rFonts w:hint="eastAsia"/>
              </w:rPr>
              <w:t xml:space="preserve">单晶石英-恩驰 </w:t>
            </w:r>
          </w:p>
        </w:tc>
        <w:tc>
          <w:tcPr>
            <w:tcW w:w="1527" w:type="dxa"/>
          </w:tcPr>
          <w:p w14:paraId="2BBB2CA7">
            <w:pPr>
              <w:jc w:val="center"/>
            </w:pPr>
            <w:r>
              <w:rPr>
                <w:rFonts w:hint="eastAsia"/>
              </w:rPr>
              <w:t>2</w:t>
            </w:r>
            <w:r>
              <w:t>8GHz</w:t>
            </w:r>
          </w:p>
        </w:tc>
        <w:tc>
          <w:tcPr>
            <w:tcW w:w="1319" w:type="dxa"/>
            <w:vAlign w:val="center"/>
          </w:tcPr>
          <w:p w14:paraId="739BEBAF">
            <w:pPr>
              <w:jc w:val="center"/>
            </w:pPr>
            <w:r>
              <w:t>3.731</w:t>
            </w:r>
          </w:p>
        </w:tc>
        <w:tc>
          <w:tcPr>
            <w:tcW w:w="1418" w:type="dxa"/>
            <w:vAlign w:val="center"/>
          </w:tcPr>
          <w:p w14:paraId="5507A7E3">
            <w:pPr>
              <w:jc w:val="center"/>
            </w:pPr>
            <w:r>
              <w:t>5.55</w:t>
            </w:r>
            <w:r>
              <w:rPr>
                <w:rFonts w:hint="eastAsia"/>
              </w:rPr>
              <w:t>E-04</w:t>
            </w:r>
          </w:p>
        </w:tc>
        <w:tc>
          <w:tcPr>
            <w:tcW w:w="1710" w:type="dxa"/>
            <w:vMerge w:val="restart"/>
            <w:vAlign w:val="center"/>
          </w:tcPr>
          <w:p w14:paraId="58CEC65E">
            <w:pPr>
              <w:widowControl/>
              <w:jc w:val="center"/>
              <w:rPr>
                <w:rFonts w:ascii="Calibri" w:hAnsi="Calibri"/>
                <w:kern w:val="0"/>
                <w:szCs w:val="21"/>
              </w:rPr>
            </w:pPr>
            <w:r>
              <w:rPr>
                <w:rFonts w:ascii="Calibri" w:hAnsi="Calibri"/>
                <w:szCs w:val="21"/>
              </w:rPr>
              <w:t>1.34%</w:t>
            </w:r>
          </w:p>
        </w:tc>
        <w:tc>
          <w:tcPr>
            <w:tcW w:w="1175" w:type="dxa"/>
            <w:vMerge w:val="restart"/>
            <w:vAlign w:val="center"/>
          </w:tcPr>
          <w:p w14:paraId="5E38C012">
            <w:pPr>
              <w:jc w:val="center"/>
              <w:rPr>
                <w:rFonts w:ascii="Calibri" w:hAnsi="Calibri"/>
                <w:szCs w:val="21"/>
              </w:rPr>
            </w:pPr>
            <w:r>
              <w:rPr>
                <w:rFonts w:ascii="Calibri" w:hAnsi="Calibri"/>
                <w:szCs w:val="21"/>
              </w:rPr>
              <w:t>2.90E-05</w:t>
            </w:r>
          </w:p>
        </w:tc>
      </w:tr>
      <w:tr w14:paraId="54F9B9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6" w:hRule="atLeast"/>
        </w:trPr>
        <w:tc>
          <w:tcPr>
            <w:tcW w:w="1549" w:type="dxa"/>
            <w:vAlign w:val="center"/>
          </w:tcPr>
          <w:p w14:paraId="146F5C2F">
            <w:pPr>
              <w:jc w:val="center"/>
            </w:pPr>
            <w:r>
              <w:rPr>
                <w:rFonts w:hint="eastAsia"/>
              </w:rPr>
              <w:t>单晶石英-国瓷</w:t>
            </w:r>
          </w:p>
        </w:tc>
        <w:tc>
          <w:tcPr>
            <w:tcW w:w="1527" w:type="dxa"/>
            <w:vAlign w:val="center"/>
          </w:tcPr>
          <w:p w14:paraId="3CA338E6">
            <w:pPr>
              <w:jc w:val="center"/>
            </w:pPr>
            <w:r>
              <w:rPr>
                <w:rFonts w:hint="eastAsia"/>
              </w:rPr>
              <w:t>2</w:t>
            </w:r>
            <w:r>
              <w:t>8 GHz</w:t>
            </w:r>
          </w:p>
        </w:tc>
        <w:tc>
          <w:tcPr>
            <w:tcW w:w="1319" w:type="dxa"/>
            <w:vAlign w:val="center"/>
          </w:tcPr>
          <w:p w14:paraId="7B80C625">
            <w:pPr>
              <w:jc w:val="center"/>
            </w:pPr>
            <w:r>
              <w:rPr>
                <w:rFonts w:hint="eastAsia"/>
              </w:rPr>
              <w:t>3</w:t>
            </w:r>
            <w:r>
              <w:t>.781</w:t>
            </w:r>
          </w:p>
        </w:tc>
        <w:tc>
          <w:tcPr>
            <w:tcW w:w="1418" w:type="dxa"/>
            <w:vAlign w:val="center"/>
          </w:tcPr>
          <w:p w14:paraId="2F897C6C">
            <w:pPr>
              <w:jc w:val="center"/>
            </w:pPr>
            <w:r>
              <w:rPr>
                <w:rFonts w:hint="eastAsia"/>
              </w:rPr>
              <w:t>5</w:t>
            </w:r>
            <w:r>
              <w:t>.84E-04</w:t>
            </w:r>
          </w:p>
        </w:tc>
        <w:tc>
          <w:tcPr>
            <w:tcW w:w="1710" w:type="dxa"/>
            <w:vMerge w:val="continue"/>
            <w:vAlign w:val="center"/>
          </w:tcPr>
          <w:p w14:paraId="78091046">
            <w:pPr>
              <w:rPr>
                <w:rFonts w:ascii="Calibri" w:hAnsi="Calibri" w:eastAsia="宋体" w:cs="宋体"/>
                <w:szCs w:val="21"/>
              </w:rPr>
            </w:pPr>
          </w:p>
        </w:tc>
        <w:tc>
          <w:tcPr>
            <w:tcW w:w="1175" w:type="dxa"/>
            <w:vMerge w:val="continue"/>
            <w:vAlign w:val="center"/>
          </w:tcPr>
          <w:p w14:paraId="4D7C5FFA">
            <w:pPr>
              <w:rPr>
                <w:rFonts w:ascii="Calibri" w:hAnsi="Calibri" w:eastAsia="宋体" w:cs="宋体"/>
                <w:szCs w:val="21"/>
              </w:rPr>
            </w:pPr>
          </w:p>
        </w:tc>
      </w:tr>
      <w:tr w14:paraId="730111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3" w:hRule="atLeast"/>
        </w:trPr>
        <w:tc>
          <w:tcPr>
            <w:tcW w:w="1549" w:type="dxa"/>
            <w:vAlign w:val="center"/>
          </w:tcPr>
          <w:p w14:paraId="3454A45B">
            <w:pPr>
              <w:jc w:val="center"/>
            </w:pPr>
            <w:r>
              <w:rPr>
                <w:rFonts w:hint="eastAsia"/>
              </w:rPr>
              <w:t>蓝宝石-恩驰</w:t>
            </w:r>
          </w:p>
        </w:tc>
        <w:tc>
          <w:tcPr>
            <w:tcW w:w="1527" w:type="dxa"/>
          </w:tcPr>
          <w:p w14:paraId="73F53CCF">
            <w:pPr>
              <w:jc w:val="center"/>
            </w:pPr>
            <w:r>
              <w:rPr>
                <w:rFonts w:hint="eastAsia"/>
              </w:rPr>
              <w:t>2</w:t>
            </w:r>
            <w:r>
              <w:t>8 GHz</w:t>
            </w:r>
          </w:p>
        </w:tc>
        <w:tc>
          <w:tcPr>
            <w:tcW w:w="1319" w:type="dxa"/>
            <w:vAlign w:val="center"/>
          </w:tcPr>
          <w:p w14:paraId="7AD13504">
            <w:pPr>
              <w:jc w:val="center"/>
            </w:pPr>
            <w:r>
              <w:rPr>
                <w:rFonts w:hint="eastAsia"/>
              </w:rPr>
              <w:t>9</w:t>
            </w:r>
            <w:r>
              <w:t>.276</w:t>
            </w:r>
          </w:p>
        </w:tc>
        <w:tc>
          <w:tcPr>
            <w:tcW w:w="1418" w:type="dxa"/>
            <w:vAlign w:val="center"/>
          </w:tcPr>
          <w:p w14:paraId="34A8C743">
            <w:pPr>
              <w:jc w:val="center"/>
            </w:pPr>
            <w:r>
              <w:rPr>
                <w:rFonts w:hint="eastAsia"/>
              </w:rPr>
              <w:t>1</w:t>
            </w:r>
            <w:r>
              <w:t>.04E-03</w:t>
            </w:r>
          </w:p>
        </w:tc>
        <w:tc>
          <w:tcPr>
            <w:tcW w:w="1710" w:type="dxa"/>
            <w:vMerge w:val="restart"/>
            <w:vAlign w:val="center"/>
          </w:tcPr>
          <w:p w14:paraId="5F794E25">
            <w:pPr>
              <w:jc w:val="center"/>
              <w:rPr>
                <w:rFonts w:ascii="Calibri" w:hAnsi="Calibri"/>
                <w:szCs w:val="21"/>
              </w:rPr>
            </w:pPr>
            <w:r>
              <w:rPr>
                <w:rFonts w:ascii="Calibri" w:hAnsi="Calibri"/>
                <w:szCs w:val="21"/>
              </w:rPr>
              <w:t>0.09%</w:t>
            </w:r>
          </w:p>
        </w:tc>
        <w:tc>
          <w:tcPr>
            <w:tcW w:w="1175" w:type="dxa"/>
            <w:vMerge w:val="restart"/>
            <w:vAlign w:val="center"/>
          </w:tcPr>
          <w:p w14:paraId="394532A5">
            <w:pPr>
              <w:jc w:val="center"/>
              <w:rPr>
                <w:rFonts w:ascii="Calibri" w:hAnsi="Calibri"/>
                <w:szCs w:val="21"/>
              </w:rPr>
            </w:pPr>
            <w:r>
              <w:rPr>
                <w:rFonts w:ascii="Calibri" w:hAnsi="Calibri"/>
                <w:szCs w:val="21"/>
              </w:rPr>
              <w:t>-2.00E-05</w:t>
            </w:r>
          </w:p>
        </w:tc>
      </w:tr>
      <w:tr w14:paraId="02D457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2" w:hRule="atLeast"/>
        </w:trPr>
        <w:tc>
          <w:tcPr>
            <w:tcW w:w="1549" w:type="dxa"/>
            <w:vAlign w:val="center"/>
          </w:tcPr>
          <w:p w14:paraId="70418381">
            <w:pPr>
              <w:jc w:val="center"/>
            </w:pPr>
            <w:r>
              <w:rPr>
                <w:rFonts w:hint="eastAsia"/>
              </w:rPr>
              <w:t>蓝宝石-国瓷</w:t>
            </w:r>
          </w:p>
        </w:tc>
        <w:tc>
          <w:tcPr>
            <w:tcW w:w="1527" w:type="dxa"/>
          </w:tcPr>
          <w:p w14:paraId="57079172">
            <w:pPr>
              <w:jc w:val="center"/>
            </w:pPr>
            <w:r>
              <w:rPr>
                <w:rFonts w:hint="eastAsia"/>
              </w:rPr>
              <w:t>2</w:t>
            </w:r>
            <w:r>
              <w:t>8 GHz</w:t>
            </w:r>
          </w:p>
        </w:tc>
        <w:tc>
          <w:tcPr>
            <w:tcW w:w="1319" w:type="dxa"/>
            <w:vAlign w:val="center"/>
          </w:tcPr>
          <w:p w14:paraId="1578FAFD">
            <w:pPr>
              <w:jc w:val="center"/>
            </w:pPr>
            <w:r>
              <w:rPr>
                <w:rFonts w:hint="eastAsia"/>
              </w:rPr>
              <w:t>9</w:t>
            </w:r>
            <w:r>
              <w:t>.284</w:t>
            </w:r>
          </w:p>
        </w:tc>
        <w:tc>
          <w:tcPr>
            <w:tcW w:w="1418" w:type="dxa"/>
            <w:vAlign w:val="center"/>
          </w:tcPr>
          <w:p w14:paraId="49810724">
            <w:pPr>
              <w:jc w:val="center"/>
            </w:pPr>
            <w:r>
              <w:rPr>
                <w:rFonts w:hint="eastAsia"/>
              </w:rPr>
              <w:t>1</w:t>
            </w:r>
            <w:r>
              <w:t>.02E-03</w:t>
            </w:r>
          </w:p>
        </w:tc>
        <w:tc>
          <w:tcPr>
            <w:tcW w:w="1710" w:type="dxa"/>
            <w:vMerge w:val="continue"/>
            <w:vAlign w:val="center"/>
          </w:tcPr>
          <w:p w14:paraId="7A146F69">
            <w:pPr>
              <w:rPr>
                <w:rFonts w:ascii="Calibri" w:hAnsi="Calibri" w:eastAsia="宋体" w:cs="宋体"/>
                <w:szCs w:val="21"/>
              </w:rPr>
            </w:pPr>
          </w:p>
        </w:tc>
        <w:tc>
          <w:tcPr>
            <w:tcW w:w="1175" w:type="dxa"/>
            <w:vMerge w:val="continue"/>
            <w:vAlign w:val="center"/>
          </w:tcPr>
          <w:p w14:paraId="61ECC838">
            <w:pPr>
              <w:rPr>
                <w:rFonts w:ascii="Calibri" w:hAnsi="Calibri" w:eastAsia="宋体" w:cs="宋体"/>
                <w:szCs w:val="21"/>
              </w:rPr>
            </w:pPr>
          </w:p>
        </w:tc>
      </w:tr>
      <w:tr w14:paraId="49387E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6" w:hRule="atLeast"/>
        </w:trPr>
        <w:tc>
          <w:tcPr>
            <w:tcW w:w="1549" w:type="dxa"/>
            <w:vAlign w:val="center"/>
          </w:tcPr>
          <w:p w14:paraId="33FA16A9">
            <w:pPr>
              <w:jc w:val="center"/>
            </w:pPr>
            <w:r>
              <w:rPr>
                <w:rFonts w:hint="eastAsia"/>
              </w:rPr>
              <w:t>R1</w:t>
            </w:r>
            <w:r>
              <w:t>-</w:t>
            </w:r>
            <w:r>
              <w:rPr>
                <w:rFonts w:hint="eastAsia"/>
              </w:rPr>
              <w:t>恩驰</w:t>
            </w:r>
          </w:p>
        </w:tc>
        <w:tc>
          <w:tcPr>
            <w:tcW w:w="1527" w:type="dxa"/>
          </w:tcPr>
          <w:p w14:paraId="1EEB8B83">
            <w:pPr>
              <w:jc w:val="center"/>
            </w:pPr>
            <w:r>
              <w:rPr>
                <w:rFonts w:hint="eastAsia"/>
              </w:rPr>
              <w:t>2</w:t>
            </w:r>
            <w:r>
              <w:t>8 GHz</w:t>
            </w:r>
          </w:p>
        </w:tc>
        <w:tc>
          <w:tcPr>
            <w:tcW w:w="1319" w:type="dxa"/>
            <w:vAlign w:val="center"/>
          </w:tcPr>
          <w:p w14:paraId="660223ED">
            <w:pPr>
              <w:jc w:val="center"/>
            </w:pPr>
            <w:r>
              <w:rPr>
                <w:rFonts w:hint="eastAsia"/>
              </w:rPr>
              <w:t>19.</w:t>
            </w:r>
            <w:r>
              <w:t>111</w:t>
            </w:r>
          </w:p>
        </w:tc>
        <w:tc>
          <w:tcPr>
            <w:tcW w:w="1418" w:type="dxa"/>
            <w:vAlign w:val="center"/>
          </w:tcPr>
          <w:p w14:paraId="2BFC5978">
            <w:pPr>
              <w:jc w:val="center"/>
            </w:pPr>
            <w:r>
              <w:t>6.62</w:t>
            </w:r>
            <w:r>
              <w:rPr>
                <w:rFonts w:hint="eastAsia"/>
              </w:rPr>
              <w:t>E-04</w:t>
            </w:r>
          </w:p>
        </w:tc>
        <w:tc>
          <w:tcPr>
            <w:tcW w:w="1710" w:type="dxa"/>
            <w:vMerge w:val="restart"/>
            <w:vAlign w:val="center"/>
          </w:tcPr>
          <w:p w14:paraId="1A155163">
            <w:pPr>
              <w:jc w:val="center"/>
              <w:rPr>
                <w:rFonts w:ascii="Calibri" w:hAnsi="Calibri"/>
                <w:szCs w:val="21"/>
              </w:rPr>
            </w:pPr>
            <w:r>
              <w:rPr>
                <w:rFonts w:ascii="Calibri" w:hAnsi="Calibri"/>
                <w:szCs w:val="21"/>
              </w:rPr>
              <w:t>0.78%</w:t>
            </w:r>
          </w:p>
        </w:tc>
        <w:tc>
          <w:tcPr>
            <w:tcW w:w="1175" w:type="dxa"/>
            <w:vMerge w:val="restart"/>
            <w:vAlign w:val="center"/>
          </w:tcPr>
          <w:p w14:paraId="4C4ABC53">
            <w:pPr>
              <w:jc w:val="center"/>
              <w:rPr>
                <w:rFonts w:ascii="Calibri" w:hAnsi="Calibri"/>
                <w:szCs w:val="21"/>
              </w:rPr>
            </w:pPr>
            <w:r>
              <w:rPr>
                <w:rFonts w:ascii="Calibri" w:hAnsi="Calibri"/>
                <w:szCs w:val="21"/>
              </w:rPr>
              <w:t>9.00E-06</w:t>
            </w:r>
          </w:p>
        </w:tc>
      </w:tr>
      <w:tr w14:paraId="0944EE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6" w:hRule="atLeast"/>
        </w:trPr>
        <w:tc>
          <w:tcPr>
            <w:tcW w:w="1549" w:type="dxa"/>
            <w:vAlign w:val="center"/>
          </w:tcPr>
          <w:p w14:paraId="3969925A">
            <w:pPr>
              <w:jc w:val="center"/>
            </w:pPr>
            <w:r>
              <w:rPr>
                <w:rFonts w:hint="eastAsia"/>
              </w:rPr>
              <w:t>R1</w:t>
            </w:r>
            <w:r>
              <w:t>-</w:t>
            </w:r>
            <w:r>
              <w:rPr>
                <w:rFonts w:hint="eastAsia"/>
              </w:rPr>
              <w:t>国瓷</w:t>
            </w:r>
          </w:p>
        </w:tc>
        <w:tc>
          <w:tcPr>
            <w:tcW w:w="1527" w:type="dxa"/>
          </w:tcPr>
          <w:p w14:paraId="2D8A12B0">
            <w:pPr>
              <w:jc w:val="center"/>
            </w:pPr>
            <w:r>
              <w:rPr>
                <w:rFonts w:hint="eastAsia"/>
              </w:rPr>
              <w:t>2</w:t>
            </w:r>
            <w:r>
              <w:t>8 GHz</w:t>
            </w:r>
          </w:p>
        </w:tc>
        <w:tc>
          <w:tcPr>
            <w:tcW w:w="1319" w:type="dxa"/>
            <w:vAlign w:val="center"/>
          </w:tcPr>
          <w:p w14:paraId="5284DFF3">
            <w:pPr>
              <w:jc w:val="center"/>
            </w:pPr>
            <w:r>
              <w:t>19.261</w:t>
            </w:r>
          </w:p>
        </w:tc>
        <w:tc>
          <w:tcPr>
            <w:tcW w:w="1418" w:type="dxa"/>
            <w:vAlign w:val="center"/>
          </w:tcPr>
          <w:p w14:paraId="559B35D6">
            <w:pPr>
              <w:jc w:val="center"/>
            </w:pPr>
            <w:r>
              <w:rPr>
                <w:rFonts w:hint="eastAsia"/>
              </w:rPr>
              <w:t>6</w:t>
            </w:r>
            <w:r>
              <w:t>.71E-04</w:t>
            </w:r>
          </w:p>
        </w:tc>
        <w:tc>
          <w:tcPr>
            <w:tcW w:w="1710" w:type="dxa"/>
            <w:vMerge w:val="continue"/>
            <w:vAlign w:val="center"/>
          </w:tcPr>
          <w:p w14:paraId="62216CBE">
            <w:pPr>
              <w:rPr>
                <w:rFonts w:ascii="Calibri" w:hAnsi="Calibri" w:eastAsia="宋体" w:cs="宋体"/>
                <w:szCs w:val="21"/>
              </w:rPr>
            </w:pPr>
          </w:p>
        </w:tc>
        <w:tc>
          <w:tcPr>
            <w:tcW w:w="1175" w:type="dxa"/>
            <w:vMerge w:val="continue"/>
            <w:vAlign w:val="center"/>
          </w:tcPr>
          <w:p w14:paraId="48EA49CF">
            <w:pPr>
              <w:rPr>
                <w:rFonts w:ascii="Calibri" w:hAnsi="Calibri" w:eastAsia="宋体" w:cs="宋体"/>
                <w:szCs w:val="21"/>
              </w:rPr>
            </w:pPr>
          </w:p>
        </w:tc>
      </w:tr>
      <w:bookmarkEnd w:id="12"/>
    </w:tbl>
    <w:p w14:paraId="28C59935"/>
    <w:p w14:paraId="4A5E098F">
      <w:pPr>
        <w:spacing w:line="360" w:lineRule="auto"/>
      </w:pPr>
      <w:r>
        <w:t xml:space="preserve">6.3 </w:t>
      </w:r>
      <w:r>
        <w:rPr>
          <w:rFonts w:hint="eastAsia"/>
        </w:rPr>
        <w:t>验证试验结果</w:t>
      </w:r>
    </w:p>
    <w:p w14:paraId="2BBFB01A">
      <w:pPr>
        <w:spacing w:line="360" w:lineRule="auto"/>
        <w:ind w:firstLine="420" w:firstLineChars="200"/>
      </w:pPr>
      <w:r>
        <w:rPr>
          <w:rFonts w:hint="eastAsia"/>
        </w:rPr>
        <w:t>经过不同实验室之间的实验，并对检测数据进行分析，相对介电常数的相对偏差均≤±2</w:t>
      </w:r>
      <w:r>
        <w:t>.5%</w:t>
      </w:r>
      <w:r>
        <w:rPr>
          <w:rFonts w:hint="eastAsia"/>
        </w:rPr>
        <w:t>，损耗角正切的极差值均≤</w:t>
      </w:r>
      <w:r>
        <w:rPr>
          <w:sz w:val="22"/>
          <w:szCs w:val="22"/>
        </w:rPr>
        <w:t>±15% tanδ+0.0001</w:t>
      </w:r>
      <w:r>
        <w:rPr>
          <w:rFonts w:hint="eastAsia"/>
          <w:sz w:val="22"/>
          <w:szCs w:val="22"/>
        </w:rPr>
        <w:t>，满足</w:t>
      </w:r>
      <w:r>
        <w:rPr>
          <w:rFonts w:hint="eastAsia"/>
          <w:lang w:eastAsia="zh-CN"/>
        </w:rPr>
        <w:t>准光腔法介电常数测量系统测试技术规范</w:t>
      </w:r>
      <w:r>
        <w:rPr>
          <w:rFonts w:hint="eastAsia"/>
        </w:rPr>
        <w:t>中关于</w:t>
      </w:r>
      <w:r>
        <w:rPr>
          <w:rFonts w:hint="eastAsia"/>
          <w:sz w:val="22"/>
          <w:szCs w:val="22"/>
        </w:rPr>
        <w:t>最大允许误差的要求。</w:t>
      </w:r>
      <w:r>
        <w:rPr>
          <w:rFonts w:hint="eastAsia"/>
          <w:lang w:eastAsia="zh-CN"/>
        </w:rPr>
        <w:t>准光腔法介电常数测量系统测试技术规范</w:t>
      </w:r>
      <w:r>
        <w:rPr>
          <w:rFonts w:hint="eastAsia"/>
        </w:rPr>
        <w:t>的测试方法准确可靠、可操作性强、普遍性较好，可以保证准光腔测量方法中各参数的有效校准。</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w:panose1 w:val="020B0604020202020204"/>
    <w:charset w:val="00"/>
    <w:family w:val="swiss"/>
    <w:pitch w:val="default"/>
    <w:sig w:usb0="E0002EFF" w:usb1="C000785B" w:usb2="00000009" w:usb3="00000000" w:csb0="400001FF" w:csb1="FFFF0000"/>
  </w:font>
  <w:font w:name="楷体_GB2312">
    <w:altName w:val="楷体"/>
    <w:panose1 w:val="00000000000000000000"/>
    <w:charset w:val="86"/>
    <w:family w:val="modern"/>
    <w:pitch w:val="default"/>
    <w:sig w:usb0="00000000" w:usb1="00000000" w:usb2="00000000" w:usb3="00000000" w:csb0="00040000" w:csb1="00000000"/>
  </w:font>
  <w:font w:name="等线 Light">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9"/>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EwNTM5NzYwMDRjMzkwZTVkZjY2ODkwMGIxNGU0OTUifQ=="/>
  </w:docVars>
  <w:rsids>
    <w:rsidRoot w:val="006023A7"/>
    <w:rsid w:val="0008782D"/>
    <w:rsid w:val="000D1065"/>
    <w:rsid w:val="001219E8"/>
    <w:rsid w:val="001A4BB3"/>
    <w:rsid w:val="001C7972"/>
    <w:rsid w:val="00217FE0"/>
    <w:rsid w:val="00222AD9"/>
    <w:rsid w:val="002F6CE4"/>
    <w:rsid w:val="00364613"/>
    <w:rsid w:val="006023A7"/>
    <w:rsid w:val="00780ECD"/>
    <w:rsid w:val="00877D99"/>
    <w:rsid w:val="00943212"/>
    <w:rsid w:val="00951C34"/>
    <w:rsid w:val="00A601C4"/>
    <w:rsid w:val="00A80E37"/>
    <w:rsid w:val="00AB4BE4"/>
    <w:rsid w:val="00CA24DE"/>
    <w:rsid w:val="00D043E0"/>
    <w:rsid w:val="00D2037D"/>
    <w:rsid w:val="00DA7619"/>
    <w:rsid w:val="00EB0594"/>
    <w:rsid w:val="13770ECA"/>
    <w:rsid w:val="328E2F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11"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link w:val="20"/>
    <w:qFormat/>
    <w:uiPriority w:val="0"/>
    <w:pPr>
      <w:keepNext/>
      <w:keepLines/>
      <w:spacing w:before="260" w:after="260" w:line="416" w:lineRule="auto"/>
      <w:outlineLvl w:val="1"/>
    </w:pPr>
    <w:rPr>
      <w:rFonts w:ascii="Arial" w:hAnsi="Arial" w:eastAsia="黑体" w:cs="Times New Roman"/>
      <w:b/>
      <w:bCs/>
      <w:sz w:val="32"/>
      <w:szCs w:val="32"/>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3">
    <w:name w:val="Balloon Text"/>
    <w:basedOn w:val="1"/>
    <w:link w:val="24"/>
    <w:qFormat/>
    <w:uiPriority w:val="0"/>
    <w:rPr>
      <w:sz w:val="18"/>
      <w:szCs w:val="18"/>
    </w:rPr>
  </w:style>
  <w:style w:type="paragraph" w:styleId="4">
    <w:name w:val="footer"/>
    <w:basedOn w:val="1"/>
    <w:qFormat/>
    <w:uiPriority w:val="99"/>
    <w:pPr>
      <w:tabs>
        <w:tab w:val="center" w:pos="4153"/>
        <w:tab w:val="right" w:pos="8306"/>
      </w:tabs>
      <w:snapToGrid w:val="0"/>
      <w:jc w:val="left"/>
    </w:pPr>
    <w:rPr>
      <w:sz w:val="18"/>
      <w:szCs w:val="18"/>
    </w:rPr>
  </w:style>
  <w:style w:type="paragraph" w:styleId="5">
    <w:name w:val="header"/>
    <w:basedOn w:val="1"/>
    <w:link w:val="13"/>
    <w:qFormat/>
    <w:uiPriority w:val="0"/>
    <w:pPr>
      <w:pBdr>
        <w:bottom w:val="single" w:color="auto" w:sz="6" w:space="1"/>
      </w:pBdr>
      <w:tabs>
        <w:tab w:val="center" w:pos="4153"/>
        <w:tab w:val="right" w:pos="8306"/>
      </w:tabs>
      <w:snapToGrid w:val="0"/>
      <w:jc w:val="center"/>
    </w:pPr>
    <w:rPr>
      <w:sz w:val="18"/>
      <w:szCs w:val="18"/>
    </w:rPr>
  </w:style>
  <w:style w:type="paragraph" w:styleId="6">
    <w:name w:val="toc 1"/>
    <w:basedOn w:val="1"/>
    <w:next w:val="1"/>
    <w:qFormat/>
    <w:uiPriority w:val="39"/>
    <w:pPr>
      <w:tabs>
        <w:tab w:val="right" w:leader="dot" w:pos="8630"/>
      </w:tabs>
      <w:spacing w:line="360" w:lineRule="auto"/>
    </w:pPr>
    <w:rPr>
      <w:rFonts w:ascii="Times New Roman" w:hAnsi="Times New Roman" w:eastAsia="宋体" w:cs="Times New Roman"/>
    </w:rPr>
  </w:style>
  <w:style w:type="paragraph" w:styleId="7">
    <w:name w:val="Subtitle"/>
    <w:basedOn w:val="1"/>
    <w:next w:val="1"/>
    <w:link w:val="23"/>
    <w:qFormat/>
    <w:uiPriority w:val="11"/>
    <w:pPr>
      <w:spacing w:beforeLines="50" w:afterLines="50"/>
      <w:outlineLvl w:val="1"/>
    </w:pPr>
    <w:rPr>
      <w:rFonts w:ascii="等线 Light" w:hAnsi="等线 Light" w:eastAsia="黑体" w:cs="Times New Roman"/>
      <w:b/>
      <w:bCs/>
      <w:kern w:val="28"/>
      <w:szCs w:val="32"/>
    </w:rPr>
  </w:style>
  <w:style w:type="paragraph" w:styleId="8">
    <w:name w:val="toc 2"/>
    <w:basedOn w:val="1"/>
    <w:next w:val="1"/>
    <w:qFormat/>
    <w:uiPriority w:val="39"/>
    <w:pPr>
      <w:tabs>
        <w:tab w:val="right" w:leader="dot" w:pos="8630"/>
      </w:tabs>
      <w:spacing w:line="360" w:lineRule="auto"/>
    </w:pPr>
    <w:rPr>
      <w:rFonts w:ascii="Times New Roman" w:hAnsi="Times New Roman" w:eastAsia="宋体" w:cs="Times New Roman"/>
    </w:rPr>
  </w:style>
  <w:style w:type="table" w:styleId="10">
    <w:name w:val="Table Grid"/>
    <w:basedOn w:val="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page number"/>
    <w:basedOn w:val="11"/>
    <w:qFormat/>
    <w:uiPriority w:val="0"/>
  </w:style>
  <w:style w:type="character" w:customStyle="1" w:styleId="13">
    <w:name w:val="页眉 字符"/>
    <w:basedOn w:val="11"/>
    <w:link w:val="5"/>
    <w:qFormat/>
    <w:uiPriority w:val="0"/>
    <w:rPr>
      <w:kern w:val="2"/>
      <w:sz w:val="18"/>
      <w:szCs w:val="18"/>
    </w:rPr>
  </w:style>
  <w:style w:type="character" w:customStyle="1" w:styleId="14">
    <w:name w:val="fontstyle01"/>
    <w:basedOn w:val="11"/>
    <w:uiPriority w:val="0"/>
    <w:rPr>
      <w:rFonts w:hint="eastAsia" w:ascii="宋体" w:hAnsi="宋体" w:eastAsia="宋体"/>
      <w:color w:val="000000"/>
      <w:sz w:val="44"/>
      <w:szCs w:val="44"/>
    </w:rPr>
  </w:style>
  <w:style w:type="character" w:customStyle="1" w:styleId="15">
    <w:name w:val="fontstyle11"/>
    <w:basedOn w:val="11"/>
    <w:qFormat/>
    <w:uiPriority w:val="0"/>
    <w:rPr>
      <w:rFonts w:hint="eastAsia" w:ascii="楷体_GB2312" w:eastAsia="楷体_GB2312"/>
      <w:color w:val="000000"/>
      <w:sz w:val="32"/>
      <w:szCs w:val="32"/>
    </w:rPr>
  </w:style>
  <w:style w:type="character" w:customStyle="1" w:styleId="16">
    <w:name w:val="fontstyle21"/>
    <w:basedOn w:val="11"/>
    <w:qFormat/>
    <w:uiPriority w:val="0"/>
    <w:rPr>
      <w:rFonts w:hint="default" w:ascii="Times New Roman" w:hAnsi="Times New Roman" w:cs="Times New Roman"/>
      <w:color w:val="000000"/>
      <w:sz w:val="18"/>
      <w:szCs w:val="18"/>
    </w:rPr>
  </w:style>
  <w:style w:type="character" w:customStyle="1" w:styleId="17">
    <w:name w:val="fontstyle31"/>
    <w:basedOn w:val="11"/>
    <w:uiPriority w:val="0"/>
    <w:rPr>
      <w:rFonts w:hint="eastAsia" w:ascii="黑体" w:hAnsi="黑体" w:eastAsia="黑体"/>
      <w:color w:val="000000"/>
      <w:sz w:val="32"/>
      <w:szCs w:val="32"/>
    </w:rPr>
  </w:style>
  <w:style w:type="character" w:customStyle="1" w:styleId="18">
    <w:name w:val="fontstyle51"/>
    <w:basedOn w:val="11"/>
    <w:qFormat/>
    <w:uiPriority w:val="0"/>
    <w:rPr>
      <w:rFonts w:hint="default" w:ascii="Times New Roman" w:hAnsi="Times New Roman" w:cs="Times New Roman"/>
      <w:b/>
      <w:bCs/>
      <w:color w:val="000000"/>
      <w:sz w:val="24"/>
      <w:szCs w:val="24"/>
    </w:rPr>
  </w:style>
  <w:style w:type="character" w:customStyle="1" w:styleId="19">
    <w:name w:val="fontstyle61"/>
    <w:basedOn w:val="11"/>
    <w:qFormat/>
    <w:uiPriority w:val="0"/>
    <w:rPr>
      <w:rFonts w:hint="default" w:ascii="Arial" w:hAnsi="Arial" w:cs="Arial"/>
      <w:color w:val="000000"/>
      <w:sz w:val="24"/>
      <w:szCs w:val="24"/>
    </w:rPr>
  </w:style>
  <w:style w:type="character" w:customStyle="1" w:styleId="20">
    <w:name w:val="标题 2 字符"/>
    <w:basedOn w:val="11"/>
    <w:link w:val="2"/>
    <w:qFormat/>
    <w:uiPriority w:val="0"/>
    <w:rPr>
      <w:rFonts w:ascii="Arial" w:hAnsi="Arial" w:eastAsia="黑体" w:cs="Times New Roman"/>
      <w:b/>
      <w:bCs/>
      <w:kern w:val="2"/>
      <w:sz w:val="32"/>
      <w:szCs w:val="32"/>
    </w:rPr>
  </w:style>
  <w:style w:type="paragraph" w:customStyle="1" w:styleId="21">
    <w:name w:val="正文1"/>
    <w:basedOn w:val="1"/>
    <w:link w:val="22"/>
    <w:qFormat/>
    <w:uiPriority w:val="0"/>
    <w:pPr>
      <w:widowControl/>
      <w:ind w:firstLine="200" w:firstLineChars="200"/>
    </w:pPr>
    <w:rPr>
      <w:rFonts w:ascii="Times New Roman" w:hAnsi="Times New Roman" w:eastAsia="宋体" w:cs="Times New Roman"/>
      <w:bCs/>
      <w:szCs w:val="21"/>
    </w:rPr>
  </w:style>
  <w:style w:type="character" w:customStyle="1" w:styleId="22">
    <w:name w:val="正文1 字符"/>
    <w:link w:val="21"/>
    <w:qFormat/>
    <w:uiPriority w:val="0"/>
    <w:rPr>
      <w:rFonts w:ascii="Times New Roman" w:hAnsi="Times New Roman" w:eastAsia="宋体" w:cs="Times New Roman"/>
      <w:bCs/>
      <w:kern w:val="2"/>
      <w:sz w:val="21"/>
      <w:szCs w:val="21"/>
    </w:rPr>
  </w:style>
  <w:style w:type="character" w:customStyle="1" w:styleId="23">
    <w:name w:val="副标题 字符"/>
    <w:basedOn w:val="11"/>
    <w:link w:val="7"/>
    <w:qFormat/>
    <w:uiPriority w:val="11"/>
    <w:rPr>
      <w:rFonts w:ascii="等线 Light" w:hAnsi="等线 Light" w:eastAsia="黑体" w:cs="Times New Roman"/>
      <w:b/>
      <w:bCs/>
      <w:kern w:val="28"/>
      <w:sz w:val="21"/>
      <w:szCs w:val="32"/>
    </w:rPr>
  </w:style>
  <w:style w:type="character" w:customStyle="1" w:styleId="24">
    <w:name w:val="批注框文本 字符"/>
    <w:basedOn w:val="11"/>
    <w:link w:val="3"/>
    <w:qFormat/>
    <w:uiPriority w:val="0"/>
    <w:rPr>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5</Pages>
  <Words>3154</Words>
  <Characters>3894</Characters>
  <Lines>32</Lines>
  <Paragraphs>9</Paragraphs>
  <TotalTime>3491</TotalTime>
  <ScaleCrop>false</ScaleCrop>
  <LinksUpToDate>false</LinksUpToDate>
  <CharactersWithSpaces>3988</CharactersWithSpaces>
  <Application>WPS Office_12.1.0.17145_F1E327BC-269C-435d-A152-05C5408002CA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2023-09-02T08:47:00Z</dcterms:created>
  <dc:creator>firei</dc:creator>
  <cp:lastModifiedBy>Bruis Kim</cp:lastModifiedBy>
  <cp:lastPrinted>2023-09-16T01:45:00Z</cp:lastPrinted>
  <dcterms:modified xsi:type="dcterms:W3CDTF">2024-10-22T08:52:52Z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2052-12.1.0.17145</vt:lpwstr>
  </property>
  <property fmtid="{D5CDD505-2E9C-101B-9397-08002B2CF9AE}" pid="3" name="ICV">
    <vt:lpwstr>5E57F41E696A40D78021B3D45B3E9E50_12</vt:lpwstr>
  </property>
</Properties>
</file>